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8"/>
        <w:rPr>
          <w:color w:val="auto"/>
        </w:rPr>
      </w:pPr>
      <w:r>
        <w:rPr>
          <w:rFonts w:hint="eastAsia"/>
          <w:color w:val="auto"/>
          <w:lang w:eastAsia="zh-CN"/>
        </w:rPr>
        <w:t>大同市新荣区</w:t>
      </w:r>
      <w:r>
        <w:rPr>
          <w:rFonts w:hint="eastAsia"/>
          <w:color w:val="auto"/>
        </w:rPr>
        <w:t>地震局权责清单</w:t>
      </w:r>
    </w:p>
    <w:p>
      <w:pPr>
        <w:pStyle w:val="10"/>
        <w:rPr>
          <w:color w:val="auto"/>
        </w:rPr>
      </w:pPr>
      <w:r>
        <w:rPr>
          <w:rFonts w:hint="eastAsia"/>
          <w:color w:val="auto"/>
        </w:rPr>
        <w:t>（一)行政许可类（2项）</w:t>
      </w:r>
    </w:p>
    <w:tbl>
      <w:tblPr>
        <w:tblStyle w:val="7"/>
        <w:tblW w:w="14059" w:type="dxa"/>
        <w:tblInd w:w="0" w:type="dxa"/>
        <w:tblLayout w:type="fixed"/>
        <w:tblCellMar>
          <w:top w:w="0" w:type="dxa"/>
          <w:left w:w="28" w:type="dxa"/>
          <w:bottom w:w="0" w:type="dxa"/>
          <w:right w:w="28" w:type="dxa"/>
        </w:tblCellMar>
      </w:tblPr>
      <w:tblGrid>
        <w:gridCol w:w="537"/>
        <w:gridCol w:w="624"/>
        <w:gridCol w:w="568"/>
        <w:gridCol w:w="1420"/>
        <w:gridCol w:w="627"/>
        <w:gridCol w:w="2207"/>
        <w:gridCol w:w="5101"/>
        <w:gridCol w:w="2410"/>
        <w:gridCol w:w="565"/>
      </w:tblGrid>
      <w:tr>
        <w:tblPrEx>
          <w:tblLayout w:type="fixed"/>
          <w:tblCellMar>
            <w:top w:w="0" w:type="dxa"/>
            <w:left w:w="28" w:type="dxa"/>
            <w:bottom w:w="0" w:type="dxa"/>
            <w:right w:w="28" w:type="dxa"/>
          </w:tblCellMar>
        </w:tblPrEx>
        <w:trPr>
          <w:trHeight w:val="417" w:hRule="atLeast"/>
          <w:tblHeader/>
        </w:trPr>
        <w:tc>
          <w:tcPr>
            <w:tcW w:w="53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序号</w:t>
            </w:r>
          </w:p>
        </w:tc>
        <w:tc>
          <w:tcPr>
            <w:tcW w:w="6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w:t>
            </w:r>
          </w:p>
          <w:p>
            <w:pPr>
              <w:pStyle w:val="12"/>
              <w:rPr>
                <w:color w:val="auto"/>
              </w:rPr>
            </w:pPr>
            <w:r>
              <w:rPr>
                <w:rFonts w:hint="eastAsia"/>
                <w:color w:val="auto"/>
              </w:rPr>
              <w:t>类型</w:t>
            </w:r>
          </w:p>
        </w:tc>
        <w:tc>
          <w:tcPr>
            <w:tcW w:w="5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w:t>
            </w:r>
          </w:p>
          <w:p>
            <w:pPr>
              <w:pStyle w:val="12"/>
              <w:rPr>
                <w:color w:val="auto"/>
              </w:rPr>
            </w:pPr>
            <w:r>
              <w:rPr>
                <w:rFonts w:hint="eastAsia"/>
                <w:color w:val="auto"/>
              </w:rPr>
              <w:t>编码</w:t>
            </w:r>
          </w:p>
        </w:tc>
        <w:tc>
          <w:tcPr>
            <w:tcW w:w="2047" w:type="dxa"/>
            <w:gridSpan w:val="2"/>
            <w:tcBorders>
              <w:top w:val="single" w:color="auto" w:sz="4" w:space="0"/>
              <w:left w:val="nil"/>
              <w:bottom w:val="single" w:color="auto" w:sz="4" w:space="0"/>
              <w:right w:val="single" w:color="auto" w:sz="4" w:space="0"/>
            </w:tcBorders>
            <w:shd w:val="clear" w:color="auto" w:fill="auto"/>
            <w:vAlign w:val="center"/>
          </w:tcPr>
          <w:p>
            <w:pPr>
              <w:pStyle w:val="12"/>
              <w:rPr>
                <w:color w:val="auto"/>
              </w:rPr>
            </w:pPr>
            <w:r>
              <w:rPr>
                <w:rFonts w:hint="eastAsia"/>
                <w:color w:val="auto"/>
              </w:rPr>
              <w:t>职权名称</w:t>
            </w:r>
          </w:p>
        </w:tc>
        <w:tc>
          <w:tcPr>
            <w:tcW w:w="220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职权依据</w:t>
            </w:r>
          </w:p>
        </w:tc>
        <w:tc>
          <w:tcPr>
            <w:tcW w:w="51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w:t>
            </w:r>
          </w:p>
        </w:tc>
        <w:tc>
          <w:tcPr>
            <w:tcW w:w="24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责任事项依据</w:t>
            </w:r>
          </w:p>
        </w:tc>
        <w:tc>
          <w:tcPr>
            <w:tcW w:w="5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备注</w:t>
            </w:r>
          </w:p>
        </w:tc>
      </w:tr>
      <w:tr>
        <w:tblPrEx>
          <w:tblLayout w:type="fixed"/>
          <w:tblCellMar>
            <w:top w:w="0" w:type="dxa"/>
            <w:left w:w="28" w:type="dxa"/>
            <w:bottom w:w="0" w:type="dxa"/>
            <w:right w:w="28" w:type="dxa"/>
          </w:tblCellMar>
        </w:tblPrEx>
        <w:trPr>
          <w:trHeight w:val="409" w:hRule="atLeast"/>
          <w:tblHead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6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420"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项目</w:t>
            </w:r>
          </w:p>
        </w:tc>
        <w:tc>
          <w:tcPr>
            <w:tcW w:w="627"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子项</w:t>
            </w:r>
          </w:p>
        </w:tc>
        <w:tc>
          <w:tcPr>
            <w:tcW w:w="22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r>
      <w:tr>
        <w:tblPrEx>
          <w:tblLayout w:type="fixed"/>
          <w:tblCellMar>
            <w:top w:w="0" w:type="dxa"/>
            <w:left w:w="28" w:type="dxa"/>
            <w:bottom w:w="0" w:type="dxa"/>
            <w:right w:w="28" w:type="dxa"/>
          </w:tblCellMar>
        </w:tblPrEx>
        <w:trPr>
          <w:trHeight w:val="3027" w:hRule="atLeast"/>
        </w:trPr>
        <w:tc>
          <w:tcPr>
            <w:tcW w:w="5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许可</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A</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1</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42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建设工程抗震设防与地震安全性评价审批</w:t>
            </w:r>
          </w:p>
        </w:tc>
        <w:tc>
          <w:tcPr>
            <w:tcW w:w="627"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2207"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第三十五条</w:t>
            </w:r>
          </w:p>
          <w:p>
            <w:pPr>
              <w:pStyle w:val="105"/>
              <w:rPr>
                <w:color w:val="auto"/>
              </w:rPr>
            </w:pPr>
            <w:r>
              <w:rPr>
                <w:rFonts w:hint="eastAsia"/>
                <w:b/>
                <w:color w:val="auto"/>
              </w:rPr>
              <w:t>【行政法规】</w:t>
            </w:r>
            <w:r>
              <w:rPr>
                <w:rFonts w:hint="eastAsia"/>
                <w:color w:val="auto"/>
              </w:rPr>
              <w:t>《地震安全性评价管理条例》（国务院令第323号）  第四条第二款</w:t>
            </w:r>
          </w:p>
          <w:p>
            <w:pPr>
              <w:pStyle w:val="105"/>
              <w:rPr>
                <w:color w:val="auto"/>
              </w:rPr>
            </w:pPr>
            <w:r>
              <w:rPr>
                <w:rFonts w:hint="eastAsia"/>
                <w:b/>
                <w:color w:val="auto"/>
              </w:rPr>
              <w:t>【地方性法规】</w:t>
            </w:r>
            <w:r>
              <w:rPr>
                <w:rFonts w:hint="eastAsia"/>
                <w:color w:val="auto"/>
              </w:rPr>
              <w:t>《山西省防震减灾条例》  第二十一条</w:t>
            </w:r>
          </w:p>
        </w:tc>
        <w:tc>
          <w:tcPr>
            <w:tcW w:w="510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1.受理责任:</w:t>
            </w:r>
            <w:r>
              <w:rPr>
                <w:rFonts w:hint="eastAsia"/>
                <w:color w:val="auto"/>
              </w:rPr>
              <w:t>公示应当提交的材料，一次性告知补正材料，依法受理或不予受理（不予受理应当告知理由）</w:t>
            </w:r>
          </w:p>
          <w:p>
            <w:pPr>
              <w:pStyle w:val="105"/>
              <w:rPr>
                <w:color w:val="auto"/>
              </w:rPr>
            </w:pPr>
            <w:r>
              <w:rPr>
                <w:rFonts w:hint="eastAsia"/>
                <w:b/>
                <w:bCs/>
                <w:color w:val="auto"/>
              </w:rPr>
              <w:t>2.审查责任：</w:t>
            </w:r>
            <w:r>
              <w:rPr>
                <w:rFonts w:hint="eastAsia"/>
                <w:color w:val="auto"/>
              </w:rPr>
              <w:t>审查工程建设单位按规定需提交的资料；踏勘现场，准备资料，提出初审意见。</w:t>
            </w:r>
          </w:p>
          <w:p>
            <w:pPr>
              <w:pStyle w:val="105"/>
              <w:rPr>
                <w:color w:val="auto"/>
              </w:rPr>
            </w:pPr>
            <w:r>
              <w:rPr>
                <w:rFonts w:hint="eastAsia"/>
                <w:b/>
                <w:bCs/>
                <w:color w:val="auto"/>
              </w:rPr>
              <w:t>3.决定责任：</w:t>
            </w:r>
            <w:r>
              <w:rPr>
                <w:rFonts w:hint="eastAsia"/>
                <w:color w:val="auto"/>
              </w:rPr>
              <w:t>作出行政许可或不予行政许可决定，法定告知（不予许可的应当书面告知理由）。</w:t>
            </w:r>
          </w:p>
          <w:p>
            <w:pPr>
              <w:pStyle w:val="105"/>
              <w:rPr>
                <w:color w:val="auto"/>
              </w:rPr>
            </w:pPr>
            <w:r>
              <w:rPr>
                <w:rFonts w:hint="eastAsia"/>
                <w:b/>
                <w:bCs/>
                <w:color w:val="auto"/>
              </w:rPr>
              <w:t>4.送达责任：</w:t>
            </w:r>
            <w:r>
              <w:rPr>
                <w:rFonts w:hint="eastAsia"/>
                <w:color w:val="auto"/>
              </w:rPr>
              <w:t>准予许可的执法送达许可证。</w:t>
            </w:r>
          </w:p>
          <w:p>
            <w:pPr>
              <w:pStyle w:val="105"/>
              <w:rPr>
                <w:color w:val="auto"/>
              </w:rPr>
            </w:pPr>
            <w:r>
              <w:rPr>
                <w:rFonts w:hint="eastAsia"/>
                <w:b/>
                <w:bCs/>
                <w:color w:val="auto"/>
              </w:rPr>
              <w:t>5.事后监管责任:</w:t>
            </w:r>
            <w:r>
              <w:rPr>
                <w:rFonts w:hint="eastAsia"/>
                <w:color w:val="auto"/>
              </w:rPr>
              <w:t>建立实施监督检查的运行机制和管理制度，开展定期和不定期检查，依法采取相关处置措施。</w:t>
            </w:r>
          </w:p>
          <w:p>
            <w:pPr>
              <w:pStyle w:val="105"/>
              <w:rPr>
                <w:b/>
                <w:bCs/>
                <w:color w:val="auto"/>
              </w:rPr>
            </w:pPr>
            <w:r>
              <w:rPr>
                <w:rFonts w:hint="eastAsia"/>
                <w:b/>
                <w:bCs/>
                <w:color w:val="auto"/>
              </w:rPr>
              <w:t>6.其他:</w:t>
            </w:r>
            <w:r>
              <w:rPr>
                <w:rFonts w:hint="eastAsia"/>
                <w:color w:val="auto"/>
              </w:rPr>
              <w:t>法律法规规章规定应履行的责任。</w:t>
            </w:r>
          </w:p>
        </w:tc>
        <w:tc>
          <w:tcPr>
            <w:tcW w:w="2410"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《行政许可法》第三十条 第三十二条 第三十四条 第三十六条 第三十八条～第四十条 第四十四条 第六十一条</w:t>
            </w:r>
          </w:p>
          <w:p>
            <w:pPr>
              <w:pStyle w:val="106"/>
              <w:rPr>
                <w:color w:val="auto"/>
              </w:rPr>
            </w:pPr>
            <w:r>
              <w:rPr>
                <w:rFonts w:hint="eastAsia"/>
                <w:color w:val="auto"/>
              </w:rPr>
              <w:t xml:space="preserve">《山西省建设工程抗震设防条例》（山西省人大常委会第14号自2015年1月1日起施行）第五条 第十一条 </w:t>
            </w:r>
          </w:p>
        </w:tc>
        <w:tc>
          <w:tcPr>
            <w:tcW w:w="56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　</w:t>
            </w:r>
          </w:p>
        </w:tc>
      </w:tr>
      <w:tr>
        <w:tblPrEx>
          <w:tblLayout w:type="fixed"/>
          <w:tblCellMar>
            <w:top w:w="0" w:type="dxa"/>
            <w:left w:w="28" w:type="dxa"/>
            <w:bottom w:w="0" w:type="dxa"/>
            <w:right w:w="28" w:type="dxa"/>
          </w:tblCellMar>
        </w:tblPrEx>
        <w:trPr>
          <w:trHeight w:val="3420" w:hRule="atLeast"/>
        </w:trPr>
        <w:tc>
          <w:tcPr>
            <w:tcW w:w="53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2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许可</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A</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2</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42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地震监测设施和观测环境保护范围内新、扩、改建建设工程的审批</w:t>
            </w:r>
          </w:p>
        </w:tc>
        <w:tc>
          <w:tcPr>
            <w:tcW w:w="627"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2207"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第二十四条</w:t>
            </w:r>
          </w:p>
          <w:p>
            <w:pPr>
              <w:pStyle w:val="105"/>
              <w:rPr>
                <w:color w:val="auto"/>
              </w:rPr>
            </w:pPr>
            <w:r>
              <w:rPr>
                <w:rFonts w:hint="eastAsia"/>
                <w:b/>
                <w:color w:val="auto"/>
              </w:rPr>
              <w:t>【行政法规】</w:t>
            </w:r>
            <w:r>
              <w:rPr>
                <w:rFonts w:hint="eastAsia"/>
                <w:color w:val="auto"/>
              </w:rPr>
              <w:t xml:space="preserve">《地震监测管理条例》（国务院令第409号）  第三十二条  第三十三条 </w:t>
            </w:r>
          </w:p>
        </w:tc>
        <w:tc>
          <w:tcPr>
            <w:tcW w:w="510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1.受理责任:</w:t>
            </w:r>
            <w:r>
              <w:rPr>
                <w:rFonts w:hint="eastAsia"/>
                <w:color w:val="auto"/>
              </w:rPr>
              <w:t>公示应当提交的材料，一次性告知补正材料，依法受理或不予受理（不予受理应当告知理由）</w:t>
            </w:r>
          </w:p>
          <w:p>
            <w:pPr>
              <w:pStyle w:val="105"/>
              <w:rPr>
                <w:color w:val="auto"/>
              </w:rPr>
            </w:pPr>
            <w:r>
              <w:rPr>
                <w:rFonts w:hint="eastAsia"/>
                <w:b/>
                <w:bCs/>
                <w:color w:val="auto"/>
              </w:rPr>
              <w:t>2.审查责任：</w:t>
            </w:r>
            <w:r>
              <w:rPr>
                <w:rFonts w:hint="eastAsia"/>
                <w:color w:val="auto"/>
              </w:rPr>
              <w:t>审查工程建设单位按规定需提交的资料；踏勘现场，准备资料，提出初审意见。</w:t>
            </w:r>
          </w:p>
          <w:p>
            <w:pPr>
              <w:pStyle w:val="105"/>
              <w:rPr>
                <w:color w:val="auto"/>
              </w:rPr>
            </w:pPr>
            <w:r>
              <w:rPr>
                <w:rFonts w:hint="eastAsia"/>
                <w:b/>
                <w:bCs/>
                <w:color w:val="auto"/>
              </w:rPr>
              <w:t>3.决定责任：</w:t>
            </w:r>
            <w:r>
              <w:rPr>
                <w:rFonts w:hint="eastAsia"/>
                <w:color w:val="auto"/>
              </w:rPr>
              <w:t>作出行政许可或不予行政许可决定，法定告知（不予许可的应当书面告知理由）。</w:t>
            </w:r>
          </w:p>
          <w:p>
            <w:pPr>
              <w:pStyle w:val="105"/>
              <w:rPr>
                <w:color w:val="auto"/>
              </w:rPr>
            </w:pPr>
            <w:r>
              <w:rPr>
                <w:rFonts w:hint="eastAsia"/>
                <w:b/>
                <w:bCs/>
                <w:color w:val="auto"/>
              </w:rPr>
              <w:t>4.送达责任：</w:t>
            </w:r>
            <w:r>
              <w:rPr>
                <w:rFonts w:hint="eastAsia"/>
                <w:color w:val="auto"/>
              </w:rPr>
              <w:t>准予许可的执法送达许可证。</w:t>
            </w:r>
          </w:p>
          <w:p>
            <w:pPr>
              <w:pStyle w:val="105"/>
              <w:rPr>
                <w:color w:val="auto"/>
              </w:rPr>
            </w:pPr>
            <w:r>
              <w:rPr>
                <w:rFonts w:hint="eastAsia"/>
                <w:b/>
                <w:bCs/>
                <w:color w:val="auto"/>
              </w:rPr>
              <w:t>5.事后监管责任:</w:t>
            </w:r>
            <w:r>
              <w:rPr>
                <w:rFonts w:hint="eastAsia"/>
                <w:color w:val="auto"/>
              </w:rPr>
              <w:t>建立实施监督检查的运行机制和管理制度，开展定期和不定期检查，依法采取相关处置措施。</w:t>
            </w:r>
          </w:p>
          <w:p>
            <w:pPr>
              <w:pStyle w:val="105"/>
              <w:rPr>
                <w:b/>
                <w:bCs/>
                <w:color w:val="auto"/>
              </w:rPr>
            </w:pPr>
            <w:r>
              <w:rPr>
                <w:rFonts w:hint="eastAsia"/>
                <w:b/>
                <w:bCs/>
                <w:color w:val="auto"/>
              </w:rPr>
              <w:t>6.其他:</w:t>
            </w:r>
            <w:r>
              <w:rPr>
                <w:rFonts w:hint="eastAsia"/>
                <w:color w:val="auto"/>
              </w:rPr>
              <w:t>法律法规规章规定应履行的责任。</w:t>
            </w:r>
          </w:p>
        </w:tc>
        <w:tc>
          <w:tcPr>
            <w:tcW w:w="2410"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《行政许可法》第三十条 第三十二条 第三十四条 第三十六条 第三十八条～第四十条 第四十四条 第六十一条</w:t>
            </w:r>
          </w:p>
          <w:p>
            <w:pPr>
              <w:pStyle w:val="106"/>
              <w:rPr>
                <w:color w:val="auto"/>
              </w:rPr>
            </w:pPr>
            <w:r>
              <w:rPr>
                <w:rFonts w:hint="eastAsia"/>
                <w:color w:val="auto"/>
              </w:rPr>
              <w:t>《地震监测管理条例》（2004年国务院令第409号  自2004年9月1日起施行）第三十二条</w:t>
            </w:r>
          </w:p>
          <w:p>
            <w:pPr>
              <w:pStyle w:val="106"/>
              <w:rPr>
                <w:color w:val="auto"/>
              </w:rPr>
            </w:pPr>
            <w:r>
              <w:rPr>
                <w:rFonts w:hint="eastAsia"/>
                <w:color w:val="auto"/>
              </w:rPr>
              <w:t>《山西省建设工程抗震设防条例》（山西省人大常委会第14号令  自2015年1月1日起施行）第三十二条</w:t>
            </w:r>
          </w:p>
        </w:tc>
        <w:tc>
          <w:tcPr>
            <w:tcW w:w="5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bl>
    <w:p>
      <w:pPr>
        <w:pStyle w:val="10"/>
        <w:rPr>
          <w:color w:val="auto"/>
        </w:rPr>
      </w:pPr>
      <w:r>
        <w:rPr>
          <w:rFonts w:hint="eastAsia"/>
          <w:color w:val="auto"/>
        </w:rPr>
        <w:t>（二）行政处罚类（</w:t>
      </w:r>
      <w:r>
        <w:rPr>
          <w:rFonts w:hint="eastAsia"/>
          <w:color w:val="auto"/>
          <w:lang w:val="en-US" w:eastAsia="zh-CN"/>
        </w:rPr>
        <w:t>8</w:t>
      </w:r>
      <w:r>
        <w:rPr>
          <w:rFonts w:hint="eastAsia"/>
          <w:color w:val="auto"/>
        </w:rPr>
        <w:t>项）</w:t>
      </w:r>
    </w:p>
    <w:tbl>
      <w:tblPr>
        <w:tblStyle w:val="7"/>
        <w:tblW w:w="14059" w:type="dxa"/>
        <w:tblInd w:w="0" w:type="dxa"/>
        <w:tblLayout w:type="fixed"/>
        <w:tblCellMar>
          <w:top w:w="0" w:type="dxa"/>
          <w:left w:w="28" w:type="dxa"/>
          <w:bottom w:w="0" w:type="dxa"/>
          <w:right w:w="28" w:type="dxa"/>
        </w:tblCellMar>
      </w:tblPr>
      <w:tblGrid>
        <w:gridCol w:w="520"/>
        <w:gridCol w:w="619"/>
        <w:gridCol w:w="731"/>
        <w:gridCol w:w="1350"/>
        <w:gridCol w:w="635"/>
        <w:gridCol w:w="1645"/>
        <w:gridCol w:w="6321"/>
        <w:gridCol w:w="1639"/>
        <w:gridCol w:w="599"/>
      </w:tblGrid>
      <w:tr>
        <w:tblPrEx>
          <w:tblLayout w:type="fixed"/>
          <w:tblCellMar>
            <w:top w:w="0" w:type="dxa"/>
            <w:left w:w="28" w:type="dxa"/>
            <w:bottom w:w="0" w:type="dxa"/>
            <w:right w:w="28" w:type="dxa"/>
          </w:tblCellMar>
        </w:tblPrEx>
        <w:trPr>
          <w:trHeight w:val="362" w:hRule="atLeast"/>
          <w:tblHeader/>
        </w:trPr>
        <w:tc>
          <w:tcPr>
            <w:tcW w:w="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序号</w:t>
            </w:r>
          </w:p>
        </w:tc>
        <w:tc>
          <w:tcPr>
            <w:tcW w:w="6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职权类型</w:t>
            </w:r>
          </w:p>
        </w:tc>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w:t>
            </w:r>
          </w:p>
          <w:p>
            <w:pPr>
              <w:pStyle w:val="12"/>
              <w:rPr>
                <w:color w:val="auto"/>
              </w:rPr>
            </w:pPr>
            <w:r>
              <w:rPr>
                <w:rFonts w:hint="eastAsia"/>
                <w:color w:val="auto"/>
              </w:rPr>
              <w:t>编码</w:t>
            </w:r>
          </w:p>
        </w:tc>
        <w:tc>
          <w:tcPr>
            <w:tcW w:w="1985" w:type="dxa"/>
            <w:gridSpan w:val="2"/>
            <w:tcBorders>
              <w:top w:val="single" w:color="auto" w:sz="4" w:space="0"/>
              <w:left w:val="nil"/>
              <w:bottom w:val="single" w:color="auto" w:sz="4" w:space="0"/>
              <w:right w:val="single" w:color="auto" w:sz="4" w:space="0"/>
            </w:tcBorders>
            <w:shd w:val="clear" w:color="auto" w:fill="auto"/>
            <w:vAlign w:val="center"/>
          </w:tcPr>
          <w:p>
            <w:pPr>
              <w:pStyle w:val="12"/>
              <w:rPr>
                <w:color w:val="auto"/>
              </w:rPr>
            </w:pPr>
            <w:r>
              <w:rPr>
                <w:rFonts w:hint="eastAsia"/>
                <w:color w:val="auto"/>
              </w:rPr>
              <w:t>职权名称</w:t>
            </w:r>
          </w:p>
        </w:tc>
        <w:tc>
          <w:tcPr>
            <w:tcW w:w="16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职权依据</w:t>
            </w:r>
          </w:p>
        </w:tc>
        <w:tc>
          <w:tcPr>
            <w:tcW w:w="632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w:t>
            </w:r>
          </w:p>
        </w:tc>
        <w:tc>
          <w:tcPr>
            <w:tcW w:w="16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责任事项依据</w:t>
            </w:r>
          </w:p>
        </w:tc>
        <w:tc>
          <w:tcPr>
            <w:tcW w:w="59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备注</w:t>
            </w:r>
          </w:p>
        </w:tc>
      </w:tr>
      <w:tr>
        <w:tblPrEx>
          <w:tblLayout w:type="fixed"/>
          <w:tblCellMar>
            <w:top w:w="0" w:type="dxa"/>
            <w:left w:w="28" w:type="dxa"/>
            <w:bottom w:w="0" w:type="dxa"/>
            <w:right w:w="28" w:type="dxa"/>
          </w:tblCellMar>
        </w:tblPrEx>
        <w:trPr>
          <w:trHeight w:val="410" w:hRule="atLeast"/>
          <w:tblHeader/>
        </w:trPr>
        <w:tc>
          <w:tcPr>
            <w:tcW w:w="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350"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项目</w:t>
            </w:r>
          </w:p>
        </w:tc>
        <w:tc>
          <w:tcPr>
            <w:tcW w:w="635"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子项</w:t>
            </w:r>
          </w:p>
        </w:tc>
        <w:tc>
          <w:tcPr>
            <w:tcW w:w="16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632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6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9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r>
      <w:tr>
        <w:tblPrEx>
          <w:tblLayout w:type="fixed"/>
          <w:tblCellMar>
            <w:top w:w="0" w:type="dxa"/>
            <w:left w:w="28" w:type="dxa"/>
            <w:bottom w:w="0" w:type="dxa"/>
            <w:right w:w="28" w:type="dxa"/>
          </w:tblCellMar>
        </w:tblPrEx>
        <w:trPr>
          <w:trHeight w:val="7786"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b/>
                <w:bCs/>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1</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对破坏地震监测设施、地震遗址、遗迹和危害地震观测环境的处罚</w:t>
            </w:r>
          </w:p>
        </w:tc>
        <w:tc>
          <w:tcPr>
            <w:tcW w:w="635" w:type="dxa"/>
            <w:tcBorders>
              <w:top w:val="nil"/>
              <w:left w:val="nil"/>
              <w:bottom w:val="single" w:color="auto" w:sz="4" w:space="0"/>
              <w:right w:val="single" w:color="auto" w:sz="4" w:space="0"/>
            </w:tcBorders>
            <w:shd w:val="clear" w:color="auto" w:fill="auto"/>
            <w:vAlign w:val="center"/>
          </w:tcPr>
          <w:p>
            <w:pPr>
              <w:pStyle w:val="105"/>
              <w:rPr>
                <w:b/>
                <w:bCs/>
                <w:color w:val="auto"/>
              </w:rPr>
            </w:pPr>
            <w:r>
              <w:rPr>
                <w:rFonts w:hint="eastAsia"/>
                <w:b/>
                <w:bCs/>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第二十三条</w:t>
            </w:r>
          </w:p>
          <w:p>
            <w:pPr>
              <w:pStyle w:val="105"/>
              <w:rPr>
                <w:color w:val="auto"/>
              </w:rPr>
            </w:pPr>
            <w:r>
              <w:rPr>
                <w:rFonts w:hint="eastAsia"/>
                <w:b/>
                <w:color w:val="auto"/>
              </w:rPr>
              <w:t>【行政法规】</w:t>
            </w:r>
            <w:r>
              <w:rPr>
                <w:rFonts w:hint="eastAsia"/>
                <w:color w:val="auto"/>
              </w:rPr>
              <w:t>《地震监测管理条例》（国务院令第409号）</w:t>
            </w:r>
            <w:r>
              <w:rPr>
                <w:color w:val="auto"/>
              </w:rPr>
              <w:t xml:space="preserve"> </w:t>
            </w:r>
            <w:r>
              <w:rPr>
                <w:rFonts w:hint="eastAsia"/>
                <w:color w:val="auto"/>
              </w:rPr>
              <w:t xml:space="preserve"> 第二十五条 第三十六条 </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b/>
                <w:bCs/>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2</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对重大建设工程未建设专用地震监测台网或强震动监测设施的处罚</w:t>
            </w:r>
          </w:p>
        </w:tc>
        <w:tc>
          <w:tcPr>
            <w:tcW w:w="635" w:type="dxa"/>
            <w:tcBorders>
              <w:top w:val="nil"/>
              <w:left w:val="nil"/>
              <w:bottom w:val="single" w:color="auto" w:sz="4" w:space="0"/>
              <w:right w:val="single" w:color="auto" w:sz="4" w:space="0"/>
            </w:tcBorders>
            <w:shd w:val="clear" w:color="auto" w:fill="auto"/>
            <w:vAlign w:val="center"/>
          </w:tcPr>
          <w:p>
            <w:pPr>
              <w:pStyle w:val="105"/>
              <w:rPr>
                <w:b/>
                <w:bCs/>
                <w:color w:val="auto"/>
              </w:rPr>
            </w:pPr>
            <w:r>
              <w:rPr>
                <w:rFonts w:hint="eastAsia"/>
                <w:b/>
                <w:bCs/>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第十九条  第八十五条</w:t>
            </w:r>
          </w:p>
          <w:p>
            <w:pPr>
              <w:pStyle w:val="105"/>
              <w:rPr>
                <w:color w:val="auto"/>
              </w:rPr>
            </w:pPr>
            <w:r>
              <w:rPr>
                <w:rFonts w:hint="eastAsia"/>
                <w:b/>
                <w:color w:val="auto"/>
              </w:rPr>
              <w:t>【行政法规】</w:t>
            </w:r>
            <w:r>
              <w:rPr>
                <w:rFonts w:hint="eastAsia"/>
                <w:color w:val="auto"/>
              </w:rPr>
              <w:t>《地震监测管理条例》（国务院令第409号）   第三十七条</w:t>
            </w:r>
          </w:p>
          <w:p>
            <w:pPr>
              <w:pStyle w:val="105"/>
              <w:rPr>
                <w:color w:val="auto"/>
              </w:rPr>
            </w:pPr>
            <w:r>
              <w:rPr>
                <w:rFonts w:hint="eastAsia"/>
                <w:b/>
                <w:color w:val="auto"/>
              </w:rPr>
              <w:t>【地方性法规】</w:t>
            </w:r>
            <w:r>
              <w:rPr>
                <w:rFonts w:hint="eastAsia"/>
                <w:color w:val="auto"/>
              </w:rPr>
              <w:t xml:space="preserve">《山西省防震减灾条例》   第十五条 </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b/>
                <w:bCs/>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b/>
                <w:bCs/>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3</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对未按要求增建抗干扰设施或者新建地震监测设施，造成地震监测设施或者地震观测环境破坏的新建、改建、扩建建设工程的处罚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第二十四条  第八十五条</w:t>
            </w:r>
          </w:p>
          <w:p>
            <w:pPr>
              <w:pStyle w:val="105"/>
              <w:rPr>
                <w:color w:val="auto"/>
              </w:rPr>
            </w:pPr>
            <w:r>
              <w:rPr>
                <w:rFonts w:hint="eastAsia"/>
                <w:b/>
                <w:color w:val="auto"/>
              </w:rPr>
              <w:t>【行政法规】</w:t>
            </w:r>
            <w:r>
              <w:rPr>
                <w:rFonts w:hint="eastAsia"/>
                <w:color w:val="auto"/>
              </w:rPr>
              <w:t xml:space="preserve">《地震监测管理条例》（国务院令第409号）  第三十三条  第三十七条  </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b/>
                <w:bCs/>
                <w:color w:val="auto"/>
              </w:rPr>
            </w:pP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4</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对未依法进行地震安全性评价，或者未按照地震安全性评价报告所确定的抗震设防要求进行抗震设防的处罚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【法律】</w:t>
            </w:r>
            <w:r>
              <w:rPr>
                <w:rFonts w:hint="eastAsia"/>
                <w:color w:val="auto"/>
              </w:rPr>
              <w:t>《中华人民共和国防震减灾法》  第八十七条</w:t>
            </w:r>
          </w:p>
          <w:p>
            <w:pPr>
              <w:pStyle w:val="105"/>
              <w:rPr>
                <w:color w:val="auto"/>
              </w:rPr>
            </w:pPr>
            <w:r>
              <w:rPr>
                <w:rFonts w:hint="eastAsia"/>
                <w:b/>
                <w:color w:val="auto"/>
              </w:rPr>
              <w:t>【地方性法规】</w:t>
            </w:r>
            <w:r>
              <w:rPr>
                <w:rFonts w:hint="eastAsia"/>
                <w:color w:val="auto"/>
              </w:rPr>
              <w:t>《山西省建设工程抗震设防条例》  第三十六条</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b/>
                <w:bCs/>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szCs w:val="24"/>
              </w:rPr>
            </w:pPr>
            <w:r>
              <w:rPr>
                <w:rFonts w:hint="eastAsia" w:ascii="仿宋" w:hAnsi="仿宋" w:eastAsia="仿宋" w:cs="宋体"/>
                <w:b/>
                <w:bCs/>
                <w:kern w:val="0"/>
                <w:sz w:val="24"/>
                <w:szCs w:val="24"/>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5</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对违法提供抗震设防要求的处罚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【地方性法规】</w:t>
            </w:r>
            <w:r>
              <w:rPr>
                <w:rFonts w:hint="eastAsia"/>
                <w:color w:val="auto"/>
              </w:rPr>
              <w:t>《山西省防震减灾条例》</w:t>
            </w:r>
            <w:r>
              <w:rPr>
                <w:color w:val="auto"/>
              </w:rPr>
              <w:t xml:space="preserve">  </w:t>
            </w:r>
            <w:r>
              <w:rPr>
                <w:rFonts w:hint="eastAsia"/>
                <w:color w:val="auto"/>
              </w:rPr>
              <w:t>第二十一条</w:t>
            </w:r>
            <w:r>
              <w:rPr>
                <w:color w:val="auto"/>
              </w:rPr>
              <w:t xml:space="preserve">  </w:t>
            </w:r>
            <w:r>
              <w:rPr>
                <w:rFonts w:hint="eastAsia"/>
                <w:color w:val="auto"/>
              </w:rPr>
              <w:t>第四十八条</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b/>
                <w:bCs/>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szCs w:val="24"/>
              </w:rPr>
            </w:pPr>
            <w:r>
              <w:rPr>
                <w:rFonts w:hint="eastAsia" w:ascii="仿宋" w:hAnsi="仿宋" w:eastAsia="仿宋" w:cs="宋体"/>
                <w:b/>
                <w:bCs/>
                <w:kern w:val="0"/>
                <w:sz w:val="24"/>
                <w:szCs w:val="24"/>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6</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对建设单位擅自确定或更改抗震设防要求、设计单位不按照审定的抗震设防要求进行抗震设计的处罚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【地方性法规】</w:t>
            </w:r>
            <w:r>
              <w:rPr>
                <w:rFonts w:hint="eastAsia"/>
                <w:color w:val="auto"/>
              </w:rPr>
              <w:t>《山西省防震减灾条例》   第四十九条</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b/>
                <w:bCs/>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szCs w:val="24"/>
              </w:rPr>
            </w:pPr>
            <w:r>
              <w:rPr>
                <w:rFonts w:hint="eastAsia" w:ascii="仿宋" w:hAnsi="仿宋" w:eastAsia="仿宋" w:cs="宋体"/>
                <w:b/>
                <w:bCs/>
                <w:kern w:val="0"/>
                <w:sz w:val="24"/>
                <w:szCs w:val="24"/>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7</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对未按照地震小区划结果确定的抗震设防要求进行抗震设防的处罚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【部门规章】</w:t>
            </w:r>
            <w:r>
              <w:rPr>
                <w:rFonts w:hint="eastAsia"/>
                <w:color w:val="auto"/>
              </w:rPr>
              <w:t>《建设工程抗震设防要求管理规定》（</w:t>
            </w:r>
            <w:r>
              <w:rPr>
                <w:rFonts w:hint="eastAsia"/>
                <w:color w:val="auto"/>
                <w:sz w:val="19"/>
                <w:szCs w:val="19"/>
              </w:rPr>
              <w:t>2002年</w:t>
            </w:r>
            <w:r>
              <w:rPr>
                <w:rFonts w:hint="eastAsia"/>
                <w:color w:val="auto"/>
              </w:rPr>
              <w:t>中国地震局令第7号）   第十三条   第十七条</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办理立案登记等相关手续；对应当通过简易程序给予行政处罚的行为进行现场处罚；对应当给予行政处罚的行为，办理立案登记等相关手续，并按程序报批</w:t>
            </w:r>
          </w:p>
          <w:p>
            <w:pPr>
              <w:pStyle w:val="105"/>
              <w:rPr>
                <w:color w:val="auto"/>
              </w:rPr>
            </w:pPr>
            <w:r>
              <w:rPr>
                <w:rFonts w:hint="eastAsia"/>
                <w:b/>
                <w:bCs/>
                <w:color w:val="auto"/>
              </w:rPr>
              <w:t>2.调查责任：</w:t>
            </w:r>
            <w:r>
              <w:rPr>
                <w:rFonts w:hint="eastAsia"/>
                <w:color w:val="auto"/>
              </w:rPr>
              <w:t>2名及以上执法人员进行检查，出示执法证件；依法收集整理证据材料；认真做好现场查询笔录，内容应详细，关键内容要记清楚，要求当事人审核无误后签名或盖章；拟出案件调查终结报告，草拟处罚意见。</w:t>
            </w:r>
          </w:p>
          <w:p>
            <w:pPr>
              <w:pStyle w:val="105"/>
              <w:rPr>
                <w:color w:val="auto"/>
              </w:rPr>
            </w:pPr>
            <w:r>
              <w:rPr>
                <w:rFonts w:hint="eastAsia"/>
                <w:b/>
                <w:bCs/>
                <w:color w:val="auto"/>
              </w:rPr>
              <w:t>3.审查责任：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依法制作《大同市地震局行政处罚决定书》，载明行政处罚告知、当事人陈述申辩或者听证情况等内容。</w:t>
            </w:r>
          </w:p>
          <w:p>
            <w:pPr>
              <w:pStyle w:val="105"/>
              <w:rPr>
                <w:color w:val="auto"/>
              </w:rPr>
            </w:pPr>
            <w:r>
              <w:rPr>
                <w:rFonts w:hint="eastAsia"/>
                <w:b/>
                <w:bCs/>
                <w:color w:val="auto"/>
              </w:rPr>
              <w:t>6.送达责任：</w:t>
            </w:r>
            <w:r>
              <w:rPr>
                <w:rFonts w:hint="eastAsia"/>
                <w:color w:val="auto"/>
              </w:rPr>
              <w:t>将《大同市地震局行政处罚决定书》送达当事人并填写《行政文书送达回证》</w:t>
            </w:r>
          </w:p>
          <w:p>
            <w:pPr>
              <w:pStyle w:val="105"/>
              <w:rPr>
                <w:b/>
                <w:bCs/>
                <w:color w:val="auto"/>
              </w:rPr>
            </w:pPr>
            <w:r>
              <w:rPr>
                <w:rFonts w:hint="eastAsia"/>
                <w:b/>
                <w:bCs/>
                <w:color w:val="auto"/>
              </w:rPr>
              <w:t>7.执行责任：</w:t>
            </w:r>
            <w:r>
              <w:rPr>
                <w:rFonts w:hint="eastAsia"/>
                <w:color w:val="auto"/>
              </w:rPr>
              <w:t>按《大同市地震局行政处罚决定书》执行处罚，拒不接受处罚的，申请当地人民法院强制执行</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Layout w:type="fixed"/>
          <w:tblCellMar>
            <w:top w:w="0" w:type="dxa"/>
            <w:left w:w="28" w:type="dxa"/>
            <w:bottom w:w="0" w:type="dxa"/>
            <w:right w:w="28" w:type="dxa"/>
          </w:tblCellMar>
        </w:tblPrEx>
        <w:trPr>
          <w:trHeight w:val="8415" w:hRule="atLeast"/>
        </w:trPr>
        <w:tc>
          <w:tcPr>
            <w:tcW w:w="5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6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处罚</w:t>
            </w:r>
          </w:p>
        </w:tc>
        <w:tc>
          <w:tcPr>
            <w:tcW w:w="7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B</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8</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350"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对应急避难场所功能、标志缺失的；对公共场所紧急疏散通道未配置救生避险照明设施的；对未安装地震紧急处置系统的报警装置的处罚</w:t>
            </w:r>
          </w:p>
        </w:tc>
        <w:tc>
          <w:tcPr>
            <w:tcW w:w="63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1645"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【政府规章】</w:t>
            </w:r>
            <w:r>
              <w:rPr>
                <w:rFonts w:hint="eastAsia"/>
                <w:color w:val="auto"/>
              </w:rPr>
              <w:t>《山西省地震应急救援规定》（省政府令第222号）  第十九条  第二十二条  第二十三条  第五十一条</w:t>
            </w:r>
          </w:p>
        </w:tc>
        <w:tc>
          <w:tcPr>
            <w:tcW w:w="632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bCs/>
                <w:color w:val="auto"/>
              </w:rPr>
              <w:t>1.立案责任：</w:t>
            </w:r>
            <w:r>
              <w:rPr>
                <w:rFonts w:hint="eastAsia"/>
                <w:color w:val="auto"/>
              </w:rPr>
              <w:t>确属违反相关法律法规的行为予以立案，办理立案登记手续。</w:t>
            </w:r>
          </w:p>
          <w:p>
            <w:pPr>
              <w:pStyle w:val="105"/>
              <w:rPr>
                <w:color w:val="auto"/>
              </w:rPr>
            </w:pPr>
            <w:r>
              <w:rPr>
                <w:rFonts w:hint="eastAsia"/>
                <w:b/>
                <w:bCs/>
                <w:color w:val="auto"/>
              </w:rPr>
              <w:t>2.调查取证责任：</w:t>
            </w:r>
            <w:r>
              <w:rPr>
                <w:rFonts w:hint="eastAsia"/>
                <w:color w:val="auto"/>
              </w:rPr>
              <w:t>依照相关规定进行检查；依法收集整理证据材料；认真做好现场查询笔录，要求当事人审核无误后签名或盖章；拟出案件调查终结报告，草拟处罚意见。</w:t>
            </w:r>
          </w:p>
          <w:p>
            <w:pPr>
              <w:pStyle w:val="105"/>
              <w:rPr>
                <w:color w:val="auto"/>
              </w:rPr>
            </w:pPr>
            <w:r>
              <w:rPr>
                <w:rFonts w:hint="eastAsia"/>
                <w:b/>
                <w:bCs/>
                <w:color w:val="auto"/>
              </w:rPr>
              <w:t>4.告知和听证责任：</w:t>
            </w:r>
            <w:r>
              <w:rPr>
                <w:rFonts w:hint="eastAsia"/>
                <w:color w:val="auto"/>
              </w:rPr>
              <w:t>审核执法程序、违法事实、违法证据和处罚意见。</w:t>
            </w:r>
          </w:p>
          <w:p>
            <w:pPr>
              <w:pStyle w:val="105"/>
              <w:rPr>
                <w:color w:val="auto"/>
              </w:rPr>
            </w:pPr>
            <w:r>
              <w:rPr>
                <w:rFonts w:hint="eastAsia"/>
                <w:b/>
                <w:bCs/>
                <w:color w:val="auto"/>
              </w:rPr>
              <w:t>4.告知责任：</w:t>
            </w:r>
            <w:r>
              <w:rPr>
                <w:rFonts w:hint="eastAsia"/>
                <w:color w:val="auto"/>
              </w:rPr>
              <w:t>作出行政处罚决定前，应制作《行政处罚告知书》送达当事人，告知违法事实及其享有的陈述、申辩等权利。符合听证规定的，向当事人发出《行政处罚听证告知书》。</w:t>
            </w:r>
          </w:p>
          <w:p>
            <w:pPr>
              <w:pStyle w:val="105"/>
              <w:rPr>
                <w:color w:val="auto"/>
              </w:rPr>
            </w:pPr>
            <w:r>
              <w:rPr>
                <w:rFonts w:hint="eastAsia"/>
                <w:b/>
                <w:bCs/>
                <w:color w:val="auto"/>
              </w:rPr>
              <w:t>5.决定责任：</w:t>
            </w:r>
            <w:r>
              <w:rPr>
                <w:rFonts w:hint="eastAsia"/>
                <w:color w:val="auto"/>
              </w:rPr>
              <w:t>对需要进行处罚的，依法制作《大同市地震局行政处罚决定书》。</w:t>
            </w:r>
          </w:p>
          <w:p>
            <w:pPr>
              <w:pStyle w:val="105"/>
              <w:rPr>
                <w:color w:val="auto"/>
              </w:rPr>
            </w:pPr>
            <w:r>
              <w:rPr>
                <w:rFonts w:hint="eastAsia"/>
                <w:b/>
                <w:bCs/>
                <w:color w:val="auto"/>
              </w:rPr>
              <w:t>6.送达责任：</w:t>
            </w:r>
            <w:r>
              <w:rPr>
                <w:rFonts w:hint="eastAsia"/>
                <w:color w:val="auto"/>
              </w:rPr>
              <w:t>将《大同市地震局行政处罚决定书》按照法律规定的方式送达当事人。</w:t>
            </w:r>
          </w:p>
          <w:p>
            <w:pPr>
              <w:pStyle w:val="105"/>
              <w:rPr>
                <w:color w:val="auto"/>
              </w:rPr>
            </w:pPr>
            <w:r>
              <w:rPr>
                <w:rFonts w:hint="eastAsia"/>
                <w:b/>
                <w:bCs/>
                <w:color w:val="auto"/>
              </w:rPr>
              <w:t>7.执行责任：</w:t>
            </w:r>
            <w:r>
              <w:rPr>
                <w:rFonts w:hint="eastAsia"/>
                <w:color w:val="auto"/>
              </w:rPr>
              <w:t>依照生效的行政处罚决定，依法进行处罚。</w:t>
            </w:r>
          </w:p>
          <w:p>
            <w:pPr>
              <w:pStyle w:val="105"/>
              <w:rPr>
                <w:b/>
                <w:bCs/>
                <w:color w:val="auto"/>
              </w:rPr>
            </w:pPr>
            <w:r>
              <w:rPr>
                <w:rFonts w:hint="eastAsia"/>
                <w:b/>
                <w:bCs/>
                <w:color w:val="auto"/>
              </w:rPr>
              <w:t>8.其他：</w:t>
            </w:r>
            <w:r>
              <w:rPr>
                <w:rFonts w:hint="eastAsia"/>
                <w:color w:val="auto"/>
              </w:rPr>
              <w:t>法律法规规章规定应履行的责任。</w:t>
            </w:r>
          </w:p>
        </w:tc>
        <w:tc>
          <w:tcPr>
            <w:tcW w:w="1639"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《行政处罚法》第三十一条 第三十六条～第四十条 第四十四条</w:t>
            </w:r>
          </w:p>
        </w:tc>
        <w:tc>
          <w:tcPr>
            <w:tcW w:w="599"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4"/>
                <w:szCs w:val="24"/>
              </w:rPr>
            </w:pPr>
            <w:r>
              <w:rPr>
                <w:rFonts w:hint="eastAsia" w:ascii="仿宋" w:hAnsi="仿宋" w:eastAsia="仿宋" w:cs="宋体"/>
                <w:b/>
                <w:bCs/>
                <w:kern w:val="0"/>
                <w:sz w:val="24"/>
                <w:szCs w:val="24"/>
              </w:rPr>
              <w:t>　</w:t>
            </w:r>
          </w:p>
        </w:tc>
      </w:tr>
    </w:tbl>
    <w:p>
      <w:pPr>
        <w:pStyle w:val="10"/>
        <w:rPr>
          <w:color w:val="auto"/>
        </w:rPr>
      </w:pPr>
      <w:r>
        <w:rPr>
          <w:rFonts w:hint="eastAsia"/>
          <w:color w:val="auto"/>
        </w:rPr>
        <w:t>（三）行政征收征用类（1项）</w:t>
      </w:r>
    </w:p>
    <w:tbl>
      <w:tblPr>
        <w:tblStyle w:val="7"/>
        <w:tblW w:w="14059" w:type="dxa"/>
        <w:tblInd w:w="0" w:type="dxa"/>
        <w:tblLayout w:type="fixed"/>
        <w:tblCellMar>
          <w:top w:w="0" w:type="dxa"/>
          <w:left w:w="28" w:type="dxa"/>
          <w:bottom w:w="0" w:type="dxa"/>
          <w:right w:w="28" w:type="dxa"/>
        </w:tblCellMar>
      </w:tblPr>
      <w:tblGrid>
        <w:gridCol w:w="544"/>
        <w:gridCol w:w="652"/>
        <w:gridCol w:w="672"/>
        <w:gridCol w:w="1561"/>
        <w:gridCol w:w="709"/>
        <w:gridCol w:w="2528"/>
        <w:gridCol w:w="4845"/>
        <w:gridCol w:w="1898"/>
        <w:gridCol w:w="650"/>
      </w:tblGrid>
      <w:tr>
        <w:tblPrEx>
          <w:tblLayout w:type="fixed"/>
          <w:tblCellMar>
            <w:top w:w="0" w:type="dxa"/>
            <w:left w:w="28" w:type="dxa"/>
            <w:bottom w:w="0" w:type="dxa"/>
            <w:right w:w="28" w:type="dxa"/>
          </w:tblCellMar>
        </w:tblPrEx>
        <w:trPr>
          <w:trHeight w:val="362" w:hRule="atLeast"/>
          <w:tblHeader/>
        </w:trPr>
        <w:tc>
          <w:tcPr>
            <w:tcW w:w="5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序号</w:t>
            </w:r>
          </w:p>
        </w:tc>
        <w:tc>
          <w:tcPr>
            <w:tcW w:w="6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职权类型</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w:t>
            </w:r>
          </w:p>
          <w:p>
            <w:pPr>
              <w:pStyle w:val="12"/>
              <w:rPr>
                <w:color w:val="auto"/>
              </w:rPr>
            </w:pPr>
            <w:r>
              <w:rPr>
                <w:rFonts w:hint="eastAsia"/>
                <w:color w:val="auto"/>
              </w:rPr>
              <w:t>编码</w:t>
            </w:r>
          </w:p>
        </w:tc>
        <w:tc>
          <w:tcPr>
            <w:tcW w:w="2270" w:type="dxa"/>
            <w:gridSpan w:val="2"/>
            <w:tcBorders>
              <w:top w:val="single" w:color="auto" w:sz="4" w:space="0"/>
              <w:left w:val="nil"/>
              <w:bottom w:val="single" w:color="auto" w:sz="4" w:space="0"/>
              <w:right w:val="single" w:color="auto" w:sz="4" w:space="0"/>
            </w:tcBorders>
            <w:shd w:val="clear" w:color="auto" w:fill="auto"/>
            <w:vAlign w:val="center"/>
          </w:tcPr>
          <w:p>
            <w:pPr>
              <w:pStyle w:val="12"/>
              <w:rPr>
                <w:color w:val="auto"/>
              </w:rPr>
            </w:pPr>
            <w:r>
              <w:rPr>
                <w:rFonts w:hint="eastAsia"/>
                <w:color w:val="auto"/>
              </w:rPr>
              <w:t>职权名称</w:t>
            </w:r>
          </w:p>
        </w:tc>
        <w:tc>
          <w:tcPr>
            <w:tcW w:w="25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职权依据</w:t>
            </w:r>
          </w:p>
        </w:tc>
        <w:tc>
          <w:tcPr>
            <w:tcW w:w="48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w:t>
            </w:r>
          </w:p>
        </w:tc>
        <w:tc>
          <w:tcPr>
            <w:tcW w:w="18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责任事项依据</w:t>
            </w:r>
          </w:p>
        </w:tc>
        <w:tc>
          <w:tcPr>
            <w:tcW w:w="6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备注</w:t>
            </w:r>
          </w:p>
        </w:tc>
      </w:tr>
      <w:tr>
        <w:tblPrEx>
          <w:tblLayout w:type="fixed"/>
          <w:tblCellMar>
            <w:top w:w="0" w:type="dxa"/>
            <w:left w:w="28" w:type="dxa"/>
            <w:bottom w:w="0" w:type="dxa"/>
            <w:right w:w="28" w:type="dxa"/>
          </w:tblCellMar>
        </w:tblPrEx>
        <w:trPr>
          <w:trHeight w:val="410" w:hRule="atLeast"/>
          <w:tblHeader/>
        </w:trPr>
        <w:tc>
          <w:tcPr>
            <w:tcW w:w="544" w:type="dxa"/>
            <w:vMerge w:val="continue"/>
            <w:tcBorders>
              <w:top w:val="single" w:color="auto" w:sz="4" w:space="0"/>
              <w:left w:val="single" w:color="auto" w:sz="4" w:space="0"/>
              <w:bottom w:val="single" w:color="auto" w:sz="4" w:space="0"/>
              <w:right w:val="single" w:color="auto" w:sz="4" w:space="0"/>
            </w:tcBorders>
            <w:vAlign w:val="center"/>
          </w:tcPr>
          <w:p>
            <w:pPr>
              <w:pStyle w:val="12"/>
              <w:rPr>
                <w:color w:val="auto"/>
              </w:rPr>
            </w:pPr>
          </w:p>
        </w:tc>
        <w:tc>
          <w:tcPr>
            <w:tcW w:w="652" w:type="dxa"/>
            <w:vMerge w:val="continue"/>
            <w:tcBorders>
              <w:top w:val="single" w:color="auto" w:sz="4" w:space="0"/>
              <w:left w:val="single" w:color="auto" w:sz="4" w:space="0"/>
              <w:bottom w:val="single" w:color="auto" w:sz="4" w:space="0"/>
              <w:right w:val="single" w:color="auto" w:sz="4" w:space="0"/>
            </w:tcBorders>
            <w:vAlign w:val="center"/>
          </w:tcPr>
          <w:p>
            <w:pPr>
              <w:pStyle w:val="12"/>
              <w:rPr>
                <w:color w:val="auto"/>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pStyle w:val="12"/>
              <w:rPr>
                <w:color w:val="auto"/>
              </w:rPr>
            </w:pPr>
          </w:p>
        </w:tc>
        <w:tc>
          <w:tcPr>
            <w:tcW w:w="1561"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项目</w:t>
            </w:r>
          </w:p>
        </w:tc>
        <w:tc>
          <w:tcPr>
            <w:tcW w:w="709"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子项</w:t>
            </w:r>
          </w:p>
        </w:tc>
        <w:tc>
          <w:tcPr>
            <w:tcW w:w="25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48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8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6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r>
      <w:tr>
        <w:tblPrEx>
          <w:tblLayout w:type="fixed"/>
          <w:tblCellMar>
            <w:top w:w="0" w:type="dxa"/>
            <w:left w:w="28" w:type="dxa"/>
            <w:bottom w:w="0" w:type="dxa"/>
            <w:right w:w="28" w:type="dxa"/>
          </w:tblCellMar>
        </w:tblPrEx>
        <w:trPr>
          <w:trHeight w:val="7786" w:hRule="atLeast"/>
        </w:trPr>
        <w:tc>
          <w:tcPr>
            <w:tcW w:w="54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征收</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征用</w:t>
            </w:r>
          </w:p>
        </w:tc>
        <w:tc>
          <w:tcPr>
            <w:tcW w:w="67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D</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1</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561"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对震后物资、设备、交通运输工具等的征用</w:t>
            </w:r>
          </w:p>
        </w:tc>
        <w:tc>
          <w:tcPr>
            <w:tcW w:w="709"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color w:val="auto"/>
              </w:rPr>
              <w:t>　</w:t>
            </w:r>
          </w:p>
        </w:tc>
        <w:tc>
          <w:tcPr>
            <w:tcW w:w="2528" w:type="dxa"/>
            <w:tcBorders>
              <w:top w:val="nil"/>
              <w:left w:val="nil"/>
              <w:bottom w:val="single" w:color="auto" w:sz="4" w:space="0"/>
              <w:right w:val="single" w:color="auto" w:sz="4" w:space="0"/>
            </w:tcBorders>
            <w:shd w:val="clear" w:color="auto" w:fill="auto"/>
            <w:vAlign w:val="center"/>
          </w:tcPr>
          <w:p>
            <w:pPr>
              <w:pStyle w:val="105"/>
              <w:rPr>
                <w:color w:val="auto"/>
              </w:rPr>
            </w:pPr>
            <w:r>
              <w:rPr>
                <w:rFonts w:hint="eastAsia"/>
                <w:b/>
                <w:color w:val="auto"/>
              </w:rPr>
              <w:t>【行政法规】</w:t>
            </w:r>
            <w:r>
              <w:rPr>
                <w:rFonts w:hint="eastAsia"/>
                <w:color w:val="auto"/>
              </w:rPr>
              <w:t>《破坏性地震应急条例》（国务院令第172号）  第二十条  第二十五条</w:t>
            </w:r>
          </w:p>
          <w:p>
            <w:pPr>
              <w:pStyle w:val="105"/>
              <w:rPr>
                <w:color w:val="auto"/>
              </w:rPr>
            </w:pPr>
            <w:r>
              <w:rPr>
                <w:rFonts w:hint="eastAsia"/>
                <w:b/>
                <w:color w:val="auto"/>
              </w:rPr>
              <w:t>【地方性法规】</w:t>
            </w:r>
            <w:r>
              <w:rPr>
                <w:rFonts w:hint="eastAsia"/>
                <w:color w:val="auto"/>
              </w:rPr>
              <w:t>《山西省防震减灾条例》  第三十七条</w:t>
            </w:r>
          </w:p>
          <w:p>
            <w:pPr>
              <w:pStyle w:val="105"/>
              <w:rPr>
                <w:color w:val="auto"/>
              </w:rPr>
            </w:pPr>
            <w:r>
              <w:rPr>
                <w:rFonts w:hint="eastAsia"/>
                <w:b/>
                <w:color w:val="auto"/>
              </w:rPr>
              <w:t>【政府规章】</w:t>
            </w:r>
            <w:r>
              <w:rPr>
                <w:rFonts w:hint="eastAsia"/>
                <w:color w:val="auto"/>
              </w:rPr>
              <w:t>《山西省地震应急救援规定》（省政府令第222号）  第四十四条</w:t>
            </w:r>
          </w:p>
        </w:tc>
        <w:tc>
          <w:tcPr>
            <w:tcW w:w="4845" w:type="dxa"/>
            <w:tcBorders>
              <w:top w:val="nil"/>
              <w:left w:val="nil"/>
              <w:bottom w:val="single" w:color="auto" w:sz="4" w:space="0"/>
              <w:right w:val="single" w:color="auto" w:sz="4" w:space="0"/>
            </w:tcBorders>
            <w:shd w:val="clear" w:color="auto" w:fill="auto"/>
            <w:vAlign w:val="center"/>
          </w:tcPr>
          <w:p>
            <w:pPr>
              <w:pStyle w:val="105"/>
              <w:rPr>
                <w:b/>
                <w:bCs/>
                <w:color w:val="auto"/>
              </w:rPr>
            </w:pPr>
            <w:r>
              <w:rPr>
                <w:rFonts w:hint="eastAsia"/>
                <w:b/>
                <w:bCs/>
                <w:color w:val="auto"/>
              </w:rPr>
              <w:t>1.告知责任：</w:t>
            </w:r>
            <w:r>
              <w:rPr>
                <w:rFonts w:hint="eastAsia"/>
                <w:color w:val="auto"/>
              </w:rPr>
              <w:t>根据临震应急期实际救援需要及时向抗震救灾指挥部提出建议征用相关应急救援物资。</w:t>
            </w:r>
          </w:p>
          <w:p>
            <w:pPr>
              <w:pStyle w:val="105"/>
              <w:rPr>
                <w:b/>
                <w:bCs/>
                <w:color w:val="auto"/>
              </w:rPr>
            </w:pPr>
            <w:r>
              <w:rPr>
                <w:rFonts w:hint="eastAsia"/>
                <w:b/>
                <w:bCs/>
                <w:color w:val="auto"/>
              </w:rPr>
              <w:t>2.执行责任：</w:t>
            </w:r>
            <w:r>
              <w:rPr>
                <w:rFonts w:hint="eastAsia"/>
                <w:color w:val="auto"/>
              </w:rPr>
              <w:t>抗震救灾指挥部下达征用命令后，要以最快的速度执行征用命令，并将征用命令送达被征用人。</w:t>
            </w:r>
          </w:p>
          <w:p>
            <w:pPr>
              <w:pStyle w:val="105"/>
              <w:rPr>
                <w:b/>
                <w:bCs/>
                <w:color w:val="auto"/>
              </w:rPr>
            </w:pPr>
            <w:r>
              <w:rPr>
                <w:rFonts w:hint="eastAsia"/>
                <w:b/>
                <w:bCs/>
                <w:color w:val="auto"/>
              </w:rPr>
              <w:t>3.事后监管补偿责任：</w:t>
            </w:r>
            <w:r>
              <w:rPr>
                <w:rFonts w:hint="eastAsia"/>
                <w:color w:val="auto"/>
              </w:rPr>
              <w:t>对征收的物资及场地的使用过程进行监管，发现或者接到违法行为举报要及时处置。</w:t>
            </w:r>
          </w:p>
          <w:p>
            <w:pPr>
              <w:pStyle w:val="105"/>
              <w:rPr>
                <w:color w:val="auto"/>
              </w:rPr>
            </w:pPr>
            <w:r>
              <w:rPr>
                <w:rFonts w:hint="eastAsia"/>
                <w:color w:val="auto"/>
              </w:rPr>
              <w:t>破坏性地震应急期后，要及时归还征用事物或者给予补偿。</w:t>
            </w:r>
          </w:p>
          <w:p>
            <w:pPr>
              <w:pStyle w:val="105"/>
              <w:rPr>
                <w:b/>
                <w:bCs/>
                <w:color w:val="auto"/>
              </w:rPr>
            </w:pPr>
            <w:r>
              <w:rPr>
                <w:rFonts w:hint="eastAsia"/>
                <w:b/>
                <w:bCs/>
                <w:color w:val="auto"/>
              </w:rPr>
              <w:t>4.其他：</w:t>
            </w:r>
            <w:r>
              <w:rPr>
                <w:rFonts w:hint="eastAsia"/>
                <w:color w:val="auto"/>
              </w:rPr>
              <w:t>法律法规规章规定的其他责任。</w:t>
            </w:r>
          </w:p>
        </w:tc>
        <w:tc>
          <w:tcPr>
            <w:tcW w:w="1898" w:type="dxa"/>
            <w:tcBorders>
              <w:top w:val="nil"/>
              <w:left w:val="nil"/>
              <w:bottom w:val="single" w:color="auto" w:sz="4" w:space="0"/>
              <w:right w:val="single" w:color="auto" w:sz="4" w:space="0"/>
            </w:tcBorders>
            <w:shd w:val="clear" w:color="auto" w:fill="auto"/>
            <w:vAlign w:val="center"/>
          </w:tcPr>
          <w:p>
            <w:pPr>
              <w:pStyle w:val="106"/>
              <w:rPr>
                <w:color w:val="auto"/>
              </w:rPr>
            </w:pPr>
            <w:r>
              <w:rPr>
                <w:rFonts w:hint="eastAsia"/>
                <w:color w:val="auto"/>
              </w:rPr>
              <w:t>《破坏性地震应急条例》第二十条</w:t>
            </w:r>
          </w:p>
          <w:p>
            <w:pPr>
              <w:pStyle w:val="106"/>
              <w:rPr>
                <w:color w:val="auto"/>
              </w:rPr>
            </w:pPr>
            <w:r>
              <w:rPr>
                <w:rFonts w:hint="eastAsia"/>
                <w:color w:val="auto"/>
              </w:rPr>
              <w:t>《山西省地震应急救援规定》第五十条</w:t>
            </w:r>
          </w:p>
          <w:p>
            <w:pPr>
              <w:pStyle w:val="106"/>
              <w:rPr>
                <w:color w:val="auto"/>
              </w:rPr>
            </w:pPr>
            <w:r>
              <w:rPr>
                <w:rFonts w:hint="eastAsia"/>
                <w:color w:val="auto"/>
              </w:rPr>
              <w:t>《中华人民共和国防震减灾法》第八十二条</w:t>
            </w:r>
          </w:p>
          <w:p>
            <w:pPr>
              <w:pStyle w:val="106"/>
              <w:rPr>
                <w:color w:val="auto"/>
              </w:rPr>
            </w:pPr>
            <w:r>
              <w:rPr>
                <w:rFonts w:hint="eastAsia"/>
                <w:color w:val="auto"/>
              </w:rPr>
              <w:t>《山西省防震减灾条例》第五十三条</w:t>
            </w:r>
          </w:p>
        </w:tc>
        <w:tc>
          <w:tcPr>
            <w:tcW w:w="650"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　</w:t>
            </w:r>
          </w:p>
        </w:tc>
      </w:tr>
    </w:tbl>
    <w:p>
      <w:pPr>
        <w:pStyle w:val="10"/>
        <w:rPr>
          <w:color w:val="auto"/>
        </w:rPr>
      </w:pPr>
      <w:r>
        <w:rPr>
          <w:rFonts w:hint="eastAsia"/>
          <w:color w:val="auto"/>
        </w:rPr>
        <w:t>（四）其他权力类（</w:t>
      </w:r>
      <w:r>
        <w:rPr>
          <w:rFonts w:hint="eastAsia"/>
          <w:color w:val="auto"/>
          <w:lang w:val="en-US" w:eastAsia="zh-CN"/>
        </w:rPr>
        <w:t>2</w:t>
      </w:r>
      <w:r>
        <w:rPr>
          <w:rFonts w:hint="eastAsia"/>
          <w:color w:val="auto"/>
        </w:rPr>
        <w:t>项）</w:t>
      </w:r>
    </w:p>
    <w:tbl>
      <w:tblPr>
        <w:tblStyle w:val="7"/>
        <w:tblW w:w="14059" w:type="dxa"/>
        <w:tblInd w:w="0" w:type="dxa"/>
        <w:tblLayout w:type="fixed"/>
        <w:tblCellMar>
          <w:top w:w="0" w:type="dxa"/>
          <w:left w:w="28" w:type="dxa"/>
          <w:bottom w:w="0" w:type="dxa"/>
          <w:right w:w="28" w:type="dxa"/>
        </w:tblCellMar>
      </w:tblPr>
      <w:tblGrid>
        <w:gridCol w:w="547"/>
        <w:gridCol w:w="740"/>
        <w:gridCol w:w="678"/>
        <w:gridCol w:w="1142"/>
        <w:gridCol w:w="866"/>
        <w:gridCol w:w="2114"/>
        <w:gridCol w:w="5475"/>
        <w:gridCol w:w="1904"/>
        <w:gridCol w:w="593"/>
      </w:tblGrid>
      <w:tr>
        <w:tblPrEx>
          <w:tblLayout w:type="fixed"/>
          <w:tblCellMar>
            <w:top w:w="0" w:type="dxa"/>
            <w:left w:w="28" w:type="dxa"/>
            <w:bottom w:w="0" w:type="dxa"/>
            <w:right w:w="28" w:type="dxa"/>
          </w:tblCellMar>
        </w:tblPrEx>
        <w:trPr>
          <w:trHeight w:val="362" w:hRule="atLeast"/>
          <w:tblHeader/>
        </w:trPr>
        <w:tc>
          <w:tcPr>
            <w:tcW w:w="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序号</w:t>
            </w:r>
          </w:p>
        </w:tc>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职权类型</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w:t>
            </w:r>
          </w:p>
          <w:p>
            <w:pPr>
              <w:pStyle w:val="12"/>
              <w:rPr>
                <w:color w:val="auto"/>
              </w:rPr>
            </w:pPr>
            <w:r>
              <w:rPr>
                <w:rFonts w:hint="eastAsia"/>
                <w:color w:val="auto"/>
              </w:rPr>
              <w:t>编码</w:t>
            </w:r>
          </w:p>
        </w:tc>
        <w:tc>
          <w:tcPr>
            <w:tcW w:w="2008" w:type="dxa"/>
            <w:gridSpan w:val="2"/>
            <w:tcBorders>
              <w:top w:val="single" w:color="auto" w:sz="4" w:space="0"/>
              <w:left w:val="nil"/>
              <w:bottom w:val="single" w:color="auto" w:sz="4" w:space="0"/>
              <w:right w:val="single" w:color="auto" w:sz="4" w:space="0"/>
            </w:tcBorders>
            <w:shd w:val="clear" w:color="auto" w:fill="auto"/>
            <w:vAlign w:val="center"/>
          </w:tcPr>
          <w:p>
            <w:pPr>
              <w:pStyle w:val="12"/>
              <w:rPr>
                <w:color w:val="auto"/>
              </w:rPr>
            </w:pPr>
            <w:r>
              <w:rPr>
                <w:rFonts w:hint="eastAsia"/>
                <w:color w:val="auto"/>
              </w:rPr>
              <w:t>职权名称</w:t>
            </w:r>
          </w:p>
        </w:tc>
        <w:tc>
          <w:tcPr>
            <w:tcW w:w="2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职权依据</w:t>
            </w:r>
          </w:p>
        </w:tc>
        <w:tc>
          <w:tcPr>
            <w:tcW w:w="54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w:t>
            </w:r>
          </w:p>
        </w:tc>
        <w:tc>
          <w:tcPr>
            <w:tcW w:w="1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责任事项依据</w:t>
            </w:r>
          </w:p>
        </w:tc>
        <w:tc>
          <w:tcPr>
            <w:tcW w:w="5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备注</w:t>
            </w:r>
          </w:p>
        </w:tc>
      </w:tr>
      <w:tr>
        <w:tblPrEx>
          <w:tblLayout w:type="fixed"/>
          <w:tblCellMar>
            <w:top w:w="0" w:type="dxa"/>
            <w:left w:w="28" w:type="dxa"/>
            <w:bottom w:w="0" w:type="dxa"/>
            <w:right w:w="28" w:type="dxa"/>
          </w:tblCellMar>
        </w:tblPrEx>
        <w:trPr>
          <w:trHeight w:val="399" w:hRule="atLeast"/>
          <w:tblHeader/>
        </w:trPr>
        <w:tc>
          <w:tcPr>
            <w:tcW w:w="5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6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142"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项目</w:t>
            </w:r>
          </w:p>
        </w:tc>
        <w:tc>
          <w:tcPr>
            <w:tcW w:w="866" w:type="dxa"/>
            <w:tcBorders>
              <w:top w:val="nil"/>
              <w:left w:val="nil"/>
              <w:bottom w:val="single" w:color="auto" w:sz="4" w:space="0"/>
              <w:right w:val="single" w:color="auto" w:sz="4" w:space="0"/>
            </w:tcBorders>
            <w:shd w:val="clear" w:color="auto" w:fill="auto"/>
            <w:vAlign w:val="center"/>
          </w:tcPr>
          <w:p>
            <w:pPr>
              <w:pStyle w:val="12"/>
              <w:rPr>
                <w:color w:val="auto"/>
              </w:rPr>
            </w:pPr>
            <w:r>
              <w:rPr>
                <w:rFonts w:hint="eastAsia"/>
                <w:color w:val="auto"/>
              </w:rPr>
              <w:t>子项</w:t>
            </w:r>
          </w:p>
        </w:tc>
        <w:tc>
          <w:tcPr>
            <w:tcW w:w="21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4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19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c>
          <w:tcPr>
            <w:tcW w:w="59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cs="宋体"/>
                <w:b/>
                <w:bCs/>
                <w:kern w:val="0"/>
                <w:sz w:val="24"/>
                <w:szCs w:val="24"/>
              </w:rPr>
            </w:pPr>
          </w:p>
        </w:tc>
      </w:tr>
      <w:tr>
        <w:tblPrEx>
          <w:tblLayout w:type="fixed"/>
          <w:tblCellMar>
            <w:top w:w="0" w:type="dxa"/>
            <w:left w:w="28" w:type="dxa"/>
            <w:bottom w:w="0" w:type="dxa"/>
            <w:right w:w="28" w:type="dxa"/>
          </w:tblCellMar>
        </w:tblPrEx>
        <w:trPr>
          <w:trHeight w:val="7800" w:hRule="atLeast"/>
        </w:trPr>
        <w:tc>
          <w:tcPr>
            <w:tcW w:w="547"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740" w:type="dxa"/>
            <w:tcBorders>
              <w:top w:val="nil"/>
              <w:left w:val="nil"/>
              <w:bottom w:val="nil"/>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其他</w:t>
            </w:r>
          </w:p>
          <w:p>
            <w:pPr>
              <w:widowControl/>
              <w:jc w:val="center"/>
              <w:rPr>
                <w:rFonts w:ascii="宋体" w:hAnsi="宋体" w:eastAsia="宋体" w:cs="宋体"/>
                <w:kern w:val="0"/>
                <w:sz w:val="18"/>
                <w:szCs w:val="18"/>
              </w:rPr>
            </w:pPr>
            <w:r>
              <w:rPr>
                <w:rFonts w:hint="eastAsia" w:ascii="宋体" w:hAnsi="宋体" w:eastAsia="宋体" w:cs="宋体"/>
                <w:kern w:val="0"/>
                <w:sz w:val="18"/>
                <w:szCs w:val="18"/>
              </w:rPr>
              <w:t>权力</w:t>
            </w:r>
          </w:p>
        </w:tc>
        <w:tc>
          <w:tcPr>
            <w:tcW w:w="678" w:type="dxa"/>
            <w:tcBorders>
              <w:top w:val="nil"/>
              <w:left w:val="nil"/>
              <w:bottom w:val="nil"/>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I</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1</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142" w:type="dxa"/>
            <w:tcBorders>
              <w:top w:val="nil"/>
              <w:left w:val="nil"/>
              <w:bottom w:val="nil"/>
              <w:right w:val="single" w:color="auto" w:sz="4" w:space="0"/>
            </w:tcBorders>
            <w:shd w:val="clear" w:color="auto" w:fill="auto"/>
            <w:vAlign w:val="center"/>
          </w:tcPr>
          <w:p>
            <w:pPr>
              <w:pStyle w:val="105"/>
              <w:rPr>
                <w:color w:val="auto"/>
              </w:rPr>
            </w:pPr>
            <w:r>
              <w:rPr>
                <w:rFonts w:hint="eastAsia"/>
                <w:color w:val="auto"/>
              </w:rPr>
              <w:t>地震应急预案备案</w:t>
            </w:r>
          </w:p>
        </w:tc>
        <w:tc>
          <w:tcPr>
            <w:tcW w:w="866" w:type="dxa"/>
            <w:tcBorders>
              <w:top w:val="nil"/>
              <w:left w:val="nil"/>
              <w:bottom w:val="nil"/>
              <w:right w:val="single" w:color="auto" w:sz="4" w:space="0"/>
            </w:tcBorders>
            <w:shd w:val="clear" w:color="auto" w:fill="auto"/>
            <w:vAlign w:val="center"/>
          </w:tcPr>
          <w:p>
            <w:pPr>
              <w:pStyle w:val="105"/>
              <w:rPr>
                <w:color w:val="auto"/>
              </w:rPr>
            </w:pPr>
            <w:r>
              <w:rPr>
                <w:rFonts w:hint="eastAsia"/>
                <w:color w:val="auto"/>
              </w:rPr>
              <w:t>　</w:t>
            </w:r>
          </w:p>
        </w:tc>
        <w:tc>
          <w:tcPr>
            <w:tcW w:w="2114" w:type="dxa"/>
            <w:tcBorders>
              <w:top w:val="nil"/>
              <w:left w:val="nil"/>
              <w:bottom w:val="nil"/>
              <w:right w:val="single" w:color="auto" w:sz="4" w:space="0"/>
            </w:tcBorders>
            <w:shd w:val="clear" w:color="auto" w:fill="auto"/>
            <w:vAlign w:val="center"/>
          </w:tcPr>
          <w:p>
            <w:pPr>
              <w:pStyle w:val="105"/>
              <w:rPr>
                <w:color w:val="auto"/>
              </w:rPr>
            </w:pPr>
            <w:r>
              <w:rPr>
                <w:rFonts w:hint="eastAsia"/>
                <w:b/>
                <w:color w:val="auto"/>
              </w:rPr>
              <w:t>【地方性法规】</w:t>
            </w:r>
            <w:r>
              <w:rPr>
                <w:rFonts w:hint="eastAsia"/>
                <w:color w:val="auto"/>
              </w:rPr>
              <w:t>《山西省防震减灾条例》 第三十四条</w:t>
            </w:r>
          </w:p>
        </w:tc>
        <w:tc>
          <w:tcPr>
            <w:tcW w:w="5475" w:type="dxa"/>
            <w:tcBorders>
              <w:top w:val="nil"/>
              <w:left w:val="nil"/>
              <w:bottom w:val="nil"/>
              <w:right w:val="single" w:color="auto" w:sz="4" w:space="0"/>
            </w:tcBorders>
            <w:shd w:val="clear" w:color="auto" w:fill="auto"/>
            <w:vAlign w:val="center"/>
          </w:tcPr>
          <w:p>
            <w:pPr>
              <w:pStyle w:val="105"/>
              <w:rPr>
                <w:color w:val="auto"/>
              </w:rPr>
            </w:pPr>
            <w:r>
              <w:rPr>
                <w:rFonts w:hint="eastAsia"/>
                <w:b/>
                <w:bCs/>
                <w:color w:val="auto"/>
              </w:rPr>
              <w:t>1.受理责任:</w:t>
            </w:r>
            <w:r>
              <w:rPr>
                <w:rFonts w:hint="eastAsia"/>
                <w:color w:val="auto"/>
              </w:rPr>
              <w:t>接收申请单位提交的地震应急预案的相关资料，并按申请单位的要求进行相关解释说明。</w:t>
            </w:r>
          </w:p>
          <w:p>
            <w:pPr>
              <w:pStyle w:val="105"/>
              <w:rPr>
                <w:color w:val="auto"/>
              </w:rPr>
            </w:pPr>
            <w:r>
              <w:rPr>
                <w:rFonts w:hint="eastAsia"/>
                <w:b/>
                <w:bCs/>
                <w:color w:val="auto"/>
              </w:rPr>
              <w:t>2.审查责任：</w:t>
            </w:r>
            <w:r>
              <w:rPr>
                <w:rFonts w:hint="eastAsia"/>
                <w:color w:val="auto"/>
              </w:rPr>
              <w:t>按照《山西省地震救援规定》对申请单位的地震应急预案进行正确分析，并作出审查意见。</w:t>
            </w:r>
          </w:p>
          <w:p>
            <w:pPr>
              <w:pStyle w:val="105"/>
              <w:rPr>
                <w:color w:val="auto"/>
              </w:rPr>
            </w:pPr>
            <w:r>
              <w:rPr>
                <w:rFonts w:hint="eastAsia"/>
                <w:b/>
                <w:bCs/>
                <w:color w:val="auto"/>
              </w:rPr>
              <w:t>3.决定责任：</w:t>
            </w:r>
            <w:r>
              <w:rPr>
                <w:rFonts w:hint="eastAsia"/>
                <w:color w:val="auto"/>
              </w:rPr>
              <w:t>及时作出决定，预案符合要求的出具应急预案备案登记表；不符合要求的，不予备案并说明理由。</w:t>
            </w:r>
          </w:p>
          <w:p>
            <w:pPr>
              <w:pStyle w:val="105"/>
              <w:rPr>
                <w:color w:val="auto"/>
              </w:rPr>
            </w:pPr>
            <w:r>
              <w:rPr>
                <w:rFonts w:hint="eastAsia"/>
                <w:b/>
                <w:bCs/>
                <w:color w:val="auto"/>
              </w:rPr>
              <w:t>4.事后监管责任：</w:t>
            </w:r>
            <w:r>
              <w:rPr>
                <w:rFonts w:hint="eastAsia"/>
                <w:color w:val="auto"/>
              </w:rPr>
              <w:t>监督检查是否有按照应急预案做好应急演练工作。</w:t>
            </w:r>
          </w:p>
          <w:p>
            <w:pPr>
              <w:pStyle w:val="105"/>
              <w:rPr>
                <w:b/>
                <w:bCs/>
                <w:color w:val="auto"/>
              </w:rPr>
            </w:pPr>
            <w:r>
              <w:rPr>
                <w:rFonts w:hint="eastAsia"/>
                <w:b/>
                <w:bCs/>
                <w:color w:val="auto"/>
              </w:rPr>
              <w:t>5.其他：</w:t>
            </w:r>
            <w:r>
              <w:rPr>
                <w:rFonts w:hint="eastAsia"/>
                <w:color w:val="auto"/>
              </w:rPr>
              <w:t>法律法规规章规定的其他责任。</w:t>
            </w:r>
          </w:p>
        </w:tc>
        <w:tc>
          <w:tcPr>
            <w:tcW w:w="1904" w:type="dxa"/>
            <w:tcBorders>
              <w:top w:val="nil"/>
              <w:left w:val="nil"/>
              <w:bottom w:val="nil"/>
              <w:right w:val="single" w:color="auto" w:sz="4" w:space="0"/>
            </w:tcBorders>
            <w:shd w:val="clear" w:color="auto" w:fill="auto"/>
            <w:vAlign w:val="center"/>
          </w:tcPr>
          <w:p>
            <w:pPr>
              <w:pStyle w:val="106"/>
              <w:rPr>
                <w:color w:val="auto"/>
              </w:rPr>
            </w:pPr>
            <w:r>
              <w:rPr>
                <w:rFonts w:hint="eastAsia"/>
                <w:color w:val="auto"/>
              </w:rPr>
              <w:t>《行政许可法》第三十条 第三十二条 第三十四条 第三十六条 第三十八条～第四十条 第四十四条 第六十一条</w:t>
            </w:r>
          </w:p>
          <w:p>
            <w:pPr>
              <w:pStyle w:val="106"/>
              <w:rPr>
                <w:color w:val="auto"/>
              </w:rPr>
            </w:pPr>
            <w:r>
              <w:rPr>
                <w:rFonts w:hint="eastAsia"/>
                <w:color w:val="auto"/>
              </w:rPr>
              <w:t>《山西省防震减灾条例》第五十三条</w:t>
            </w:r>
          </w:p>
        </w:tc>
        <w:tc>
          <w:tcPr>
            <w:tcW w:w="593" w:type="dxa"/>
            <w:tcBorders>
              <w:top w:val="nil"/>
              <w:left w:val="nil"/>
              <w:bottom w:val="nil"/>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r>
      <w:tr>
        <w:tblPrEx>
          <w:tblLayout w:type="fixed"/>
          <w:tblCellMar>
            <w:top w:w="0" w:type="dxa"/>
            <w:left w:w="28" w:type="dxa"/>
            <w:bottom w:w="0" w:type="dxa"/>
            <w:right w:w="28" w:type="dxa"/>
          </w:tblCellMar>
        </w:tblPrEx>
        <w:trPr>
          <w:trHeight w:val="7800" w:hRule="atLeast"/>
        </w:trPr>
        <w:tc>
          <w:tcPr>
            <w:tcW w:w="54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其他</w:t>
            </w:r>
          </w:p>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权力</w:t>
            </w:r>
          </w:p>
        </w:tc>
        <w:tc>
          <w:tcPr>
            <w:tcW w:w="67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spacing w:val="0"/>
                <w:position w:val="0"/>
                <w:shd w:val="clear" w:fill="auto"/>
                <w:lang w:val="en-US" w:eastAsia="zh-CN"/>
              </w:rPr>
            </w:pPr>
            <w:r>
              <w:rPr>
                <w:rFonts w:hint="eastAsia" w:ascii="宋体" w:hAnsi="宋体" w:eastAsia="宋体" w:cs="宋体"/>
                <w:spacing w:val="0"/>
                <w:position w:val="0"/>
                <w:shd w:val="clear" w:fill="auto"/>
                <w:lang w:val="en-US" w:eastAsia="zh-CN"/>
              </w:rPr>
              <w:t>32</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I</w:t>
            </w:r>
            <w:r>
              <w:rPr>
                <w:rFonts w:hint="eastAsia" w:ascii="宋体" w:hAnsi="宋体" w:eastAsia="宋体" w:cs="宋体"/>
                <w:spacing w:val="0"/>
                <w:position w:val="0"/>
                <w:shd w:val="clear" w:fill="auto"/>
              </w:rPr>
              <w:t>-00</w:t>
            </w:r>
            <w:r>
              <w:rPr>
                <w:rFonts w:hint="eastAsia" w:ascii="宋体" w:hAnsi="宋体" w:eastAsia="宋体" w:cs="宋体"/>
                <w:spacing w:val="0"/>
                <w:position w:val="0"/>
                <w:shd w:val="clear" w:fill="auto"/>
                <w:lang w:val="en-US" w:eastAsia="zh-CN"/>
              </w:rPr>
              <w:t>2</w:t>
            </w:r>
            <w:r>
              <w:rPr>
                <w:rFonts w:hint="eastAsia" w:ascii="宋体" w:hAnsi="宋体" w:eastAsia="宋体" w:cs="宋体"/>
                <w:spacing w:val="0"/>
                <w:position w:val="0"/>
                <w:shd w:val="clear" w:fill="auto"/>
              </w:rPr>
              <w:t>0</w:t>
            </w:r>
            <w:r>
              <w:rPr>
                <w:rFonts w:hint="eastAsia" w:ascii="宋体" w:hAnsi="宋体" w:eastAsia="宋体" w:cs="宋体"/>
                <w:spacing w:val="0"/>
                <w:position w:val="0"/>
                <w:shd w:val="clear" w:fill="auto"/>
                <w:lang w:val="en-US" w:eastAsia="zh-CN"/>
              </w:rPr>
              <w:t>0</w:t>
            </w:r>
            <w:r>
              <w:rPr>
                <w:rFonts w:hint="eastAsia" w:ascii="宋体" w:hAnsi="宋体" w:eastAsia="宋体" w:cs="宋体"/>
                <w:spacing w:val="0"/>
                <w:position w:val="0"/>
                <w:shd w:val="clear" w:fill="auto"/>
              </w:rPr>
              <w:t>-140212</w:t>
            </w:r>
          </w:p>
        </w:tc>
        <w:tc>
          <w:tcPr>
            <w:tcW w:w="1142" w:type="dxa"/>
            <w:tcBorders>
              <w:top w:val="nil"/>
              <w:left w:val="nil"/>
              <w:bottom w:val="single" w:color="auto" w:sz="4" w:space="0"/>
              <w:right w:val="single" w:color="auto" w:sz="4" w:space="0"/>
            </w:tcBorders>
            <w:shd w:val="clear" w:color="auto" w:fill="auto"/>
            <w:vAlign w:val="center"/>
          </w:tcPr>
          <w:p>
            <w:pPr>
              <w:pStyle w:val="105"/>
              <w:rPr>
                <w:rFonts w:hint="eastAsia"/>
                <w:color w:val="auto"/>
              </w:rPr>
            </w:pPr>
            <w:r>
              <w:rPr>
                <w:rFonts w:hint="eastAsia"/>
                <w:color w:val="auto"/>
                <w:lang w:val="en-US" w:eastAsia="zh-CN"/>
              </w:rPr>
              <w:t>建设工程抗震设防要求竣工验收</w:t>
            </w:r>
          </w:p>
        </w:tc>
        <w:tc>
          <w:tcPr>
            <w:tcW w:w="866" w:type="dxa"/>
            <w:tcBorders>
              <w:top w:val="nil"/>
              <w:left w:val="nil"/>
              <w:bottom w:val="single" w:color="auto" w:sz="4" w:space="0"/>
              <w:right w:val="single" w:color="auto" w:sz="4" w:space="0"/>
            </w:tcBorders>
            <w:shd w:val="clear" w:color="auto" w:fill="auto"/>
            <w:vAlign w:val="center"/>
          </w:tcPr>
          <w:p>
            <w:pPr>
              <w:pStyle w:val="105"/>
              <w:rPr>
                <w:rFonts w:hint="eastAsia"/>
                <w:color w:val="auto"/>
              </w:rPr>
            </w:pPr>
          </w:p>
        </w:tc>
        <w:tc>
          <w:tcPr>
            <w:tcW w:w="2114" w:type="dxa"/>
            <w:tcBorders>
              <w:top w:val="nil"/>
              <w:left w:val="nil"/>
              <w:bottom w:val="single" w:color="auto" w:sz="4" w:space="0"/>
              <w:right w:val="single" w:color="auto" w:sz="4" w:space="0"/>
            </w:tcBorders>
            <w:shd w:val="clear" w:color="auto" w:fill="auto"/>
            <w:vAlign w:val="center"/>
          </w:tcPr>
          <w:p>
            <w:pPr>
              <w:pStyle w:val="105"/>
              <w:rPr>
                <w:rFonts w:hint="eastAsia"/>
                <w:b/>
                <w:color w:val="auto"/>
              </w:rPr>
            </w:pPr>
            <w:r>
              <w:rPr>
                <w:rFonts w:hint="eastAsia"/>
                <w:b/>
                <w:color w:val="auto"/>
              </w:rPr>
              <w:t>【地方性法</w:t>
            </w:r>
            <w:r>
              <w:rPr>
                <w:rFonts w:hint="eastAsia"/>
                <w:b/>
                <w:color w:val="auto"/>
                <w:lang w:val="en-US" w:eastAsia="zh-CN"/>
              </w:rPr>
              <w:t>规</w:t>
            </w:r>
            <w:r>
              <w:rPr>
                <w:rFonts w:hint="eastAsia"/>
                <w:b/>
                <w:color w:val="auto"/>
              </w:rPr>
              <w:t>】</w:t>
            </w:r>
            <w:r>
              <w:rPr>
                <w:rFonts w:hint="eastAsia"/>
                <w:color w:val="auto"/>
              </w:rPr>
              <w:t>《山西省防震减灾条例》（2002年9月1日起实施）第二十二条</w:t>
            </w:r>
          </w:p>
        </w:tc>
        <w:tc>
          <w:tcPr>
            <w:tcW w:w="5475" w:type="dxa"/>
            <w:tcBorders>
              <w:top w:val="nil"/>
              <w:left w:val="nil"/>
              <w:bottom w:val="single" w:color="auto" w:sz="4" w:space="0"/>
              <w:right w:val="single" w:color="auto" w:sz="4" w:space="0"/>
            </w:tcBorders>
            <w:shd w:val="clear" w:color="auto" w:fill="auto"/>
            <w:vAlign w:val="center"/>
          </w:tcPr>
          <w:p>
            <w:pPr>
              <w:pStyle w:val="105"/>
              <w:rPr>
                <w:rFonts w:hint="eastAsia"/>
                <w:b w:val="0"/>
                <w:bCs w:val="0"/>
                <w:color w:val="auto"/>
              </w:rPr>
            </w:pPr>
            <w:r>
              <w:rPr>
                <w:rFonts w:hint="eastAsia"/>
                <w:b/>
                <w:bCs/>
                <w:color w:val="auto"/>
              </w:rPr>
              <w:t>1.受理责任:</w:t>
            </w:r>
            <w:r>
              <w:rPr>
                <w:rFonts w:hint="eastAsia"/>
                <w:b w:val="0"/>
                <w:bCs w:val="0"/>
                <w:color w:val="auto"/>
              </w:rPr>
              <w:t>公示应当提交的材料，一次性告知补正材料，依法受理或不予受理（不予受理应当告知理由）</w:t>
            </w:r>
          </w:p>
          <w:p>
            <w:pPr>
              <w:pStyle w:val="105"/>
              <w:rPr>
                <w:rFonts w:hint="eastAsia"/>
                <w:b w:val="0"/>
                <w:bCs w:val="0"/>
                <w:color w:val="auto"/>
              </w:rPr>
            </w:pPr>
            <w:r>
              <w:rPr>
                <w:rFonts w:hint="eastAsia"/>
                <w:b/>
                <w:bCs/>
                <w:color w:val="auto"/>
              </w:rPr>
              <w:t>2.审查责任</w:t>
            </w:r>
            <w:r>
              <w:rPr>
                <w:rFonts w:hint="eastAsia"/>
                <w:b w:val="0"/>
                <w:bCs w:val="0"/>
                <w:color w:val="auto"/>
              </w:rPr>
              <w:t>：审查工程建设单位按规定需提交的资料；踏勘现场，准备资料，提出初审意见。</w:t>
            </w:r>
          </w:p>
          <w:p>
            <w:pPr>
              <w:pStyle w:val="105"/>
              <w:rPr>
                <w:rFonts w:hint="eastAsia"/>
                <w:b w:val="0"/>
                <w:bCs w:val="0"/>
                <w:color w:val="auto"/>
              </w:rPr>
            </w:pPr>
            <w:r>
              <w:rPr>
                <w:rFonts w:hint="eastAsia"/>
                <w:b/>
                <w:bCs/>
                <w:color w:val="auto"/>
              </w:rPr>
              <w:t>3.决定责任</w:t>
            </w:r>
            <w:r>
              <w:rPr>
                <w:rFonts w:hint="eastAsia"/>
                <w:b w:val="0"/>
                <w:bCs w:val="0"/>
                <w:color w:val="auto"/>
              </w:rPr>
              <w:t>：及时作出决定，法定告知（不予通过的应当书面告知理由）。</w:t>
            </w:r>
          </w:p>
          <w:p>
            <w:pPr>
              <w:pStyle w:val="105"/>
              <w:rPr>
                <w:rFonts w:hint="eastAsia"/>
                <w:b w:val="0"/>
                <w:bCs w:val="0"/>
                <w:color w:val="auto"/>
              </w:rPr>
            </w:pPr>
            <w:r>
              <w:rPr>
                <w:rFonts w:hint="eastAsia"/>
                <w:b/>
                <w:bCs/>
                <w:color w:val="auto"/>
              </w:rPr>
              <w:t>4.送达责任</w:t>
            </w:r>
            <w:r>
              <w:rPr>
                <w:rFonts w:hint="eastAsia"/>
                <w:b w:val="0"/>
                <w:bCs w:val="0"/>
                <w:color w:val="auto"/>
              </w:rPr>
              <w:t>：准予通过的送达竣工验收通知书。</w:t>
            </w:r>
          </w:p>
          <w:p>
            <w:pPr>
              <w:pStyle w:val="105"/>
              <w:rPr>
                <w:rFonts w:hint="eastAsia"/>
                <w:b w:val="0"/>
                <w:bCs w:val="0"/>
                <w:color w:val="auto"/>
              </w:rPr>
            </w:pPr>
            <w:r>
              <w:rPr>
                <w:rFonts w:hint="eastAsia"/>
                <w:b/>
                <w:bCs/>
                <w:color w:val="auto"/>
              </w:rPr>
              <w:t>5.事后监管责任</w:t>
            </w:r>
            <w:r>
              <w:rPr>
                <w:rFonts w:hint="eastAsia"/>
                <w:b w:val="0"/>
                <w:bCs w:val="0"/>
                <w:color w:val="auto"/>
              </w:rPr>
              <w:t>:建立实施监督检查的运行机制和管理制度，开展定期和不定期检查，依法采取相关处置措施。</w:t>
            </w:r>
          </w:p>
          <w:p>
            <w:pPr>
              <w:pStyle w:val="105"/>
              <w:rPr>
                <w:rFonts w:hint="eastAsia"/>
                <w:b/>
                <w:bCs/>
                <w:color w:val="auto"/>
              </w:rPr>
            </w:pPr>
            <w:r>
              <w:rPr>
                <w:rFonts w:hint="eastAsia"/>
                <w:b/>
                <w:bCs/>
                <w:color w:val="auto"/>
              </w:rPr>
              <w:t>6.其他</w:t>
            </w:r>
            <w:r>
              <w:rPr>
                <w:rFonts w:hint="eastAsia"/>
                <w:b w:val="0"/>
                <w:bCs w:val="0"/>
                <w:color w:val="auto"/>
              </w:rPr>
              <w:t>:法律法规规章规定应履行的责任。</w:t>
            </w:r>
          </w:p>
        </w:tc>
        <w:tc>
          <w:tcPr>
            <w:tcW w:w="1904" w:type="dxa"/>
            <w:tcBorders>
              <w:top w:val="nil"/>
              <w:left w:val="nil"/>
              <w:bottom w:val="single" w:color="auto" w:sz="4" w:space="0"/>
              <w:right w:val="single" w:color="auto" w:sz="4" w:space="0"/>
            </w:tcBorders>
            <w:shd w:val="clear" w:color="auto" w:fill="auto"/>
            <w:vAlign w:val="center"/>
          </w:tcPr>
          <w:p>
            <w:pPr>
              <w:pStyle w:val="106"/>
              <w:ind w:left="0" w:leftChars="0" w:firstLine="0" w:firstLineChars="0"/>
              <w:rPr>
                <w:rFonts w:hint="eastAsia"/>
                <w:color w:val="auto"/>
              </w:rPr>
            </w:pPr>
            <w:r>
              <w:rPr>
                <w:rFonts w:hint="eastAsia"/>
                <w:color w:val="auto"/>
              </w:rPr>
              <w:t>《行政许可法》第三十条 第三十二条 第三十四条 第三十六条 第三十八条～第四十条 第四十四条 第六十一条</w:t>
            </w:r>
          </w:p>
          <w:p>
            <w:pPr>
              <w:pStyle w:val="106"/>
              <w:ind w:firstLine="360" w:firstLineChars="200"/>
              <w:rPr>
                <w:rFonts w:hint="eastAsia"/>
                <w:color w:val="auto"/>
              </w:rPr>
            </w:pPr>
            <w:r>
              <w:rPr>
                <w:rFonts w:hint="eastAsia"/>
                <w:color w:val="auto"/>
              </w:rPr>
              <w:t>《山西省防震减灾条例》（2002年9月1日起实施）第二十二条</w:t>
            </w:r>
          </w:p>
        </w:tc>
        <w:tc>
          <w:tcPr>
            <w:tcW w:w="5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p>
        </w:tc>
      </w:tr>
    </w:tbl>
    <w:p>
      <w:pPr>
        <w:pStyle w:val="8"/>
        <w:rPr>
          <w:rFonts w:hint="eastAsia"/>
          <w:color w:val="auto"/>
          <w:lang w:eastAsia="zh-CN"/>
        </w:rPr>
      </w:pPr>
    </w:p>
    <w:p>
      <w:pPr>
        <w:pStyle w:val="8"/>
        <w:rPr>
          <w:color w:val="auto"/>
        </w:rPr>
      </w:pPr>
      <w:bookmarkStart w:id="0" w:name="_GoBack"/>
      <w:bookmarkEnd w:id="0"/>
      <w:r>
        <w:rPr>
          <w:rFonts w:hint="eastAsia"/>
          <w:color w:val="auto"/>
          <w:lang w:eastAsia="zh-CN"/>
        </w:rPr>
        <w:t>大同市新荣区</w:t>
      </w:r>
      <w:r>
        <w:rPr>
          <w:rFonts w:hint="eastAsia"/>
          <w:color w:val="auto"/>
        </w:rPr>
        <w:t>地震局权责清单问责依据</w:t>
      </w:r>
    </w:p>
    <w:tbl>
      <w:tblPr>
        <w:tblStyle w:val="7"/>
        <w:tblW w:w="13933" w:type="dxa"/>
        <w:tblInd w:w="108" w:type="dxa"/>
        <w:tblLayout w:type="fixed"/>
        <w:tblCellMar>
          <w:top w:w="0" w:type="dxa"/>
          <w:left w:w="57" w:type="dxa"/>
          <w:bottom w:w="0" w:type="dxa"/>
          <w:right w:w="57" w:type="dxa"/>
        </w:tblCellMar>
      </w:tblPr>
      <w:tblGrid>
        <w:gridCol w:w="666"/>
        <w:gridCol w:w="3848"/>
        <w:gridCol w:w="9419"/>
      </w:tblGrid>
      <w:tr>
        <w:tblPrEx>
          <w:tblLayout w:type="fixed"/>
          <w:tblCellMar>
            <w:top w:w="0" w:type="dxa"/>
            <w:left w:w="57" w:type="dxa"/>
            <w:bottom w:w="0" w:type="dxa"/>
            <w:right w:w="57" w:type="dxa"/>
          </w:tblCellMar>
        </w:tblPrEx>
        <w:trPr>
          <w:trHeight w:val="762" w:hRule="atLeast"/>
          <w:tblHeader/>
        </w:trPr>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楷体" w:hAnsi="楷体" w:eastAsia="楷体" w:cs="宋体"/>
                <w:b/>
                <w:bCs/>
                <w:kern w:val="0"/>
                <w:sz w:val="24"/>
                <w:szCs w:val="24"/>
              </w:rPr>
            </w:pPr>
            <w:r>
              <w:rPr>
                <w:rFonts w:hint="eastAsia" w:ascii="楷体" w:hAnsi="楷体" w:eastAsia="楷体" w:cs="宋体"/>
                <w:b/>
                <w:bCs/>
                <w:kern w:val="0"/>
                <w:sz w:val="24"/>
                <w:szCs w:val="24"/>
              </w:rPr>
              <w:t>序号</w:t>
            </w:r>
          </w:p>
        </w:tc>
        <w:tc>
          <w:tcPr>
            <w:tcW w:w="38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楷体" w:hAnsi="楷体" w:eastAsia="楷体" w:cs="宋体"/>
                <w:b/>
                <w:bCs/>
                <w:kern w:val="0"/>
                <w:sz w:val="24"/>
                <w:szCs w:val="24"/>
              </w:rPr>
            </w:pPr>
            <w:r>
              <w:rPr>
                <w:rFonts w:hint="eastAsia" w:ascii="楷体" w:hAnsi="楷体" w:eastAsia="楷体" w:cs="宋体"/>
                <w:b/>
                <w:bCs/>
                <w:kern w:val="0"/>
                <w:sz w:val="24"/>
                <w:szCs w:val="24"/>
              </w:rPr>
              <w:t>法律法规规章名称</w:t>
            </w:r>
          </w:p>
        </w:tc>
        <w:tc>
          <w:tcPr>
            <w:tcW w:w="94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楷体" w:hAnsi="楷体" w:eastAsia="楷体" w:cs="宋体"/>
                <w:b/>
                <w:bCs/>
                <w:kern w:val="0"/>
                <w:sz w:val="24"/>
                <w:szCs w:val="24"/>
              </w:rPr>
            </w:pPr>
            <w:r>
              <w:rPr>
                <w:rFonts w:hint="eastAsia" w:ascii="楷体" w:hAnsi="楷体" w:eastAsia="楷体" w:cs="宋体"/>
                <w:b/>
                <w:bCs/>
                <w:kern w:val="0"/>
                <w:sz w:val="24"/>
                <w:szCs w:val="24"/>
              </w:rPr>
              <w:t>相关条款</w:t>
            </w:r>
          </w:p>
        </w:tc>
      </w:tr>
      <w:tr>
        <w:tblPrEx>
          <w:tblLayout w:type="fixed"/>
          <w:tblCellMar>
            <w:top w:w="0" w:type="dxa"/>
            <w:left w:w="57" w:type="dxa"/>
            <w:bottom w:w="0" w:type="dxa"/>
            <w:right w:w="57" w:type="dxa"/>
          </w:tblCellMar>
        </w:tblPrEx>
        <w:trPr>
          <w:trHeight w:val="1380" w:hRule="atLeast"/>
        </w:trPr>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《防震减灾法》</w:t>
            </w:r>
          </w:p>
        </w:tc>
        <w:tc>
          <w:tcPr>
            <w:tcW w:w="941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第八十二条</w:t>
            </w:r>
            <w:r>
              <w:rPr>
                <w:rFonts w:hint="eastAsia" w:ascii="宋体" w:hAnsi="宋体" w:eastAsia="宋体" w:cs="宋体"/>
                <w:kern w:val="0"/>
                <w:sz w:val="18"/>
                <w:szCs w:val="18"/>
              </w:rPr>
              <w:t xml:space="preserve"> 国务院地震工作主管部门、县级以上地方人民政府负责管理地震工作的部门或者机构，以及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tc>
      </w:tr>
      <w:tr>
        <w:tblPrEx>
          <w:tblLayout w:type="fixed"/>
          <w:tblCellMar>
            <w:top w:w="0" w:type="dxa"/>
            <w:left w:w="57" w:type="dxa"/>
            <w:bottom w:w="0" w:type="dxa"/>
            <w:right w:w="57" w:type="dxa"/>
          </w:tblCellMar>
        </w:tblPrEx>
        <w:trPr>
          <w:trHeight w:val="1761"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第七十二条</w:t>
            </w:r>
            <w:r>
              <w:rPr>
                <w:rFonts w:hint="eastAsia" w:ascii="宋体" w:hAnsi="宋体" w:eastAsia="宋体" w:cs="宋体"/>
                <w:kern w:val="0"/>
                <w:sz w:val="18"/>
                <w:szCs w:val="18"/>
              </w:rPr>
              <w:t xml:space="preserve">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tc>
      </w:tr>
      <w:tr>
        <w:tblPrEx>
          <w:tblLayout w:type="fixed"/>
          <w:tblCellMar>
            <w:top w:w="0" w:type="dxa"/>
            <w:left w:w="57" w:type="dxa"/>
            <w:bottom w:w="0" w:type="dxa"/>
            <w:right w:w="57" w:type="dxa"/>
          </w:tblCellMar>
        </w:tblPrEx>
        <w:trPr>
          <w:trHeight w:val="819"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第七十三条</w:t>
            </w:r>
            <w:r>
              <w:rPr>
                <w:rFonts w:hint="eastAsia" w:ascii="宋体" w:hAnsi="宋体" w:eastAsia="宋体" w:cs="宋体"/>
                <w:kern w:val="0"/>
                <w:sz w:val="18"/>
                <w:szCs w:val="18"/>
              </w:rPr>
              <w:t xml:space="preserve"> 行政机关工作人员办理行政许可、实施监督检查，索取或者收受他人财物或者谋取其他利益，构成犯罪的，依法追究刑事责任；尚不构成犯罪的，依法给予行政处分。</w:t>
            </w:r>
          </w:p>
        </w:tc>
      </w:tr>
      <w:tr>
        <w:tblPrEx>
          <w:tblLayout w:type="fixed"/>
          <w:tblCellMar>
            <w:top w:w="0" w:type="dxa"/>
            <w:left w:w="57" w:type="dxa"/>
            <w:bottom w:w="0" w:type="dxa"/>
            <w:right w:w="57" w:type="dxa"/>
          </w:tblCellMar>
        </w:tblPrEx>
        <w:trPr>
          <w:trHeight w:val="1539"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第七十四条</w:t>
            </w:r>
            <w:r>
              <w:rPr>
                <w:rFonts w:hint="eastAsia" w:ascii="宋体" w:hAnsi="宋体" w:eastAsia="宋体" w:cs="宋体"/>
                <w:kern w:val="0"/>
                <w:sz w:val="18"/>
                <w:szCs w:val="18"/>
              </w:rPr>
              <w:t xml:space="preserve">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tc>
      </w:tr>
      <w:tr>
        <w:tblPrEx>
          <w:tblLayout w:type="fixed"/>
          <w:tblCellMar>
            <w:top w:w="0" w:type="dxa"/>
            <w:left w:w="57" w:type="dxa"/>
            <w:bottom w:w="0" w:type="dxa"/>
            <w:right w:w="57" w:type="dxa"/>
          </w:tblCellMar>
        </w:tblPrEx>
        <w:trPr>
          <w:trHeight w:val="1299"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 xml:space="preserve">第七十五条 </w:t>
            </w:r>
            <w:r>
              <w:rPr>
                <w:rFonts w:hint="eastAsia" w:ascii="宋体" w:hAnsi="宋体" w:eastAsia="宋体" w:cs="宋体"/>
                <w:kern w:val="0"/>
                <w:sz w:val="18"/>
                <w:szCs w:val="18"/>
              </w:rPr>
              <w:t>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tc>
      </w:tr>
    </w:tbl>
    <w:p>
      <w:r>
        <w:rPr>
          <w:rFonts w:hint="eastAsia" w:ascii="仿宋_GB2312" w:hAnsi="宋体" w:eastAsia="仿宋_GB2312" w:cs="宋体"/>
          <w:kern w:val="0"/>
          <w:sz w:val="18"/>
          <w:szCs w:val="18"/>
        </w:rPr>
        <w:t>注：根据中央编办要求，各部门要完善追责体系，按照相关法律法规规章列出本部门责任清单的问责依据。</w:t>
      </w:r>
    </w:p>
    <w:p/>
    <w:tbl>
      <w:tblPr>
        <w:tblStyle w:val="7"/>
        <w:tblW w:w="13933" w:type="dxa"/>
        <w:tblInd w:w="108" w:type="dxa"/>
        <w:tblLayout w:type="fixed"/>
        <w:tblCellMar>
          <w:top w:w="0" w:type="dxa"/>
          <w:left w:w="57" w:type="dxa"/>
          <w:bottom w:w="0" w:type="dxa"/>
          <w:right w:w="57" w:type="dxa"/>
        </w:tblCellMar>
      </w:tblPr>
      <w:tblGrid>
        <w:gridCol w:w="666"/>
        <w:gridCol w:w="3848"/>
        <w:gridCol w:w="9419"/>
      </w:tblGrid>
      <w:tr>
        <w:tblPrEx>
          <w:tblLayout w:type="fixed"/>
          <w:tblCellMar>
            <w:top w:w="0" w:type="dxa"/>
            <w:left w:w="57" w:type="dxa"/>
            <w:bottom w:w="0" w:type="dxa"/>
            <w:right w:w="57" w:type="dxa"/>
          </w:tblCellMar>
        </w:tblPrEx>
        <w:trPr>
          <w:trHeight w:val="410" w:hRule="atLeast"/>
          <w:tblHeader/>
        </w:trPr>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序号</w:t>
            </w:r>
          </w:p>
        </w:tc>
        <w:tc>
          <w:tcPr>
            <w:tcW w:w="38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法律法规规章名称</w:t>
            </w:r>
          </w:p>
        </w:tc>
        <w:tc>
          <w:tcPr>
            <w:tcW w:w="94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rPr>
                <w:color w:val="auto"/>
              </w:rPr>
            </w:pPr>
            <w:r>
              <w:rPr>
                <w:rFonts w:hint="eastAsia"/>
                <w:color w:val="auto"/>
              </w:rPr>
              <w:t>相关条款</w:t>
            </w:r>
          </w:p>
        </w:tc>
      </w:tr>
      <w:tr>
        <w:tblPrEx>
          <w:tblLayout w:type="fixed"/>
          <w:tblCellMar>
            <w:top w:w="0" w:type="dxa"/>
            <w:left w:w="57" w:type="dxa"/>
            <w:bottom w:w="0" w:type="dxa"/>
            <w:right w:w="57" w:type="dxa"/>
          </w:tblCellMar>
        </w:tblPrEx>
        <w:trPr>
          <w:trHeight w:val="68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 xml:space="preserve"> 第七十六条</w:t>
            </w:r>
            <w:r>
              <w:rPr>
                <w:rFonts w:hint="eastAsia" w:ascii="宋体" w:hAnsi="宋体" w:eastAsia="宋体" w:cs="宋体"/>
                <w:kern w:val="0"/>
                <w:sz w:val="18"/>
                <w:szCs w:val="18"/>
              </w:rPr>
              <w:t xml:space="preserve"> 行政机关违法实施行政许可，给当事人的合法权益造成损害的，应当依照国家赔偿法的规定给予赔偿。</w:t>
            </w:r>
          </w:p>
        </w:tc>
      </w:tr>
      <w:tr>
        <w:tblPrEx>
          <w:tblLayout w:type="fixed"/>
          <w:tblCellMar>
            <w:top w:w="0" w:type="dxa"/>
            <w:left w:w="57" w:type="dxa"/>
            <w:bottom w:w="0" w:type="dxa"/>
            <w:right w:w="57" w:type="dxa"/>
          </w:tblCellMar>
        </w:tblPrEx>
        <w:trPr>
          <w:trHeight w:val="90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《行政许可法》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第七十七条</w:t>
            </w:r>
            <w:r>
              <w:rPr>
                <w:rFonts w:hint="eastAsia" w:ascii="宋体" w:hAnsi="宋体" w:eastAsia="宋体" w:cs="宋体"/>
                <w:kern w:val="0"/>
                <w:sz w:val="18"/>
                <w:szCs w:val="18"/>
              </w:rPr>
              <w:t xml:space="preserve"> 行政机关不依法履行监督职责或者监督不力，造成严重后果的，由其上级行政机关或者监察机关责令改正，对直接负责的主管人员和其他直接责任人员依法给予行政处分；构成犯罪的，依法追究刑事责任。</w:t>
            </w:r>
          </w:p>
        </w:tc>
      </w:tr>
      <w:tr>
        <w:tblPrEx>
          <w:tblLayout w:type="fixed"/>
          <w:tblCellMar>
            <w:top w:w="0" w:type="dxa"/>
            <w:left w:w="57" w:type="dxa"/>
            <w:bottom w:w="0" w:type="dxa"/>
            <w:right w:w="57" w:type="dxa"/>
          </w:tblCellMar>
        </w:tblPrEx>
        <w:trPr>
          <w:trHeight w:val="1179"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第五十五条</w:t>
            </w:r>
            <w:r>
              <w:rPr>
                <w:rFonts w:hint="eastAsia" w:ascii="宋体" w:hAnsi="宋体" w:eastAsia="宋体" w:cs="宋体"/>
                <w:kern w:val="0"/>
                <w:sz w:val="18"/>
                <w:szCs w:val="18"/>
              </w:rPr>
              <w:t>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tc>
      </w:tr>
      <w:tr>
        <w:tblPrEx>
          <w:tblLayout w:type="fixed"/>
          <w:tblCellMar>
            <w:top w:w="0" w:type="dxa"/>
            <w:left w:w="57" w:type="dxa"/>
            <w:bottom w:w="0" w:type="dxa"/>
            <w:right w:w="57" w:type="dxa"/>
          </w:tblCellMar>
        </w:tblPrEx>
        <w:trPr>
          <w:trHeight w:val="138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第五十八条</w:t>
            </w:r>
            <w:r>
              <w:rPr>
                <w:rFonts w:hint="eastAsia" w:ascii="宋体" w:hAnsi="宋体" w:eastAsia="宋体" w:cs="宋体"/>
                <w:kern w:val="0"/>
                <w:sz w:val="18"/>
                <w:szCs w:val="18"/>
              </w:rPr>
              <w:t>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r>
      <w:tr>
        <w:tblPrEx>
          <w:tblLayout w:type="fixed"/>
          <w:tblCellMar>
            <w:top w:w="0" w:type="dxa"/>
            <w:left w:w="57" w:type="dxa"/>
            <w:bottom w:w="0" w:type="dxa"/>
            <w:right w:w="57" w:type="dxa"/>
          </w:tblCellMar>
        </w:tblPrEx>
        <w:trPr>
          <w:trHeight w:val="1161"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第六十一条</w:t>
            </w:r>
            <w:r>
              <w:rPr>
                <w:rFonts w:hint="eastAsia" w:ascii="宋体" w:hAnsi="宋体" w:eastAsia="宋体" w:cs="宋体"/>
                <w:kern w:val="0"/>
                <w:sz w:val="18"/>
                <w:szCs w:val="18"/>
              </w:rPr>
              <w:t>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tc>
      </w:tr>
      <w:tr>
        <w:tblPrEx>
          <w:tblLayout w:type="fixed"/>
          <w:tblCellMar>
            <w:top w:w="0" w:type="dxa"/>
            <w:left w:w="57" w:type="dxa"/>
            <w:bottom w:w="0" w:type="dxa"/>
            <w:right w:w="57" w:type="dxa"/>
          </w:tblCellMar>
        </w:tblPrEx>
        <w:trPr>
          <w:trHeight w:val="96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第六十二条</w:t>
            </w:r>
            <w:r>
              <w:rPr>
                <w:rFonts w:hint="eastAsia" w:ascii="宋体" w:hAnsi="宋体" w:eastAsia="宋体" w:cs="宋体"/>
                <w:kern w:val="0"/>
                <w:sz w:val="18"/>
                <w:szCs w:val="18"/>
              </w:rPr>
              <w:t>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r>
      <w:tr>
        <w:tblPrEx>
          <w:tblLayout w:type="fixed"/>
          <w:tblCellMar>
            <w:top w:w="0" w:type="dxa"/>
            <w:left w:w="57" w:type="dxa"/>
            <w:bottom w:w="0" w:type="dxa"/>
            <w:right w:w="57" w:type="dxa"/>
          </w:tblCellMar>
        </w:tblPrEx>
        <w:trPr>
          <w:trHeight w:val="246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《公务员法》 </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第五十三条</w:t>
            </w:r>
            <w:r>
              <w:rPr>
                <w:rFonts w:hint="eastAsia" w:ascii="宋体" w:hAnsi="宋体" w:eastAsia="宋体" w:cs="宋体"/>
                <w:kern w:val="0"/>
                <w:sz w:val="18"/>
                <w:szCs w:val="18"/>
              </w:rPr>
              <w:t>　公务员必须遵守纪律，不得有下列行为：（一）散布有损国家声誉的言论，组织或者参加旨在反对国家的集会、游行、示威等活动；（二）组织或者参加非法组织，组织或者参加罢工；（三）玩忽职守，贻误工作；（四）拒绝执行上级依法作出的决定和命令；　　（五）压制批评，打击报复；（六）弄虚作假，误导、欺骗领导和公众；（七）贪污、行贿、受贿，利用职务之便为自己或者他人谋取私利；（八）违反财经纪律，浪费国家资财；（九）滥用职权，侵害公民、法人或者其他组织的合法权益；（十）泄露国家秘密或者工作秘密；（十一）在对外交往中损害国家荣誉和利益；（十二）参与或者支持色情、吸毒、赌博、迷信等活动；（十三）违反职业道德、社会公德；（十四）从事或者参与营利性活动，在企业或者其他营利性组织中兼任职务；（十五）旷工或者因公外出、请假期满无正当理由逾期不归；（十六）违反纪律的其他行为。</w:t>
            </w:r>
          </w:p>
        </w:tc>
      </w:tr>
      <w:tr>
        <w:tblPrEx>
          <w:tblLayout w:type="fixed"/>
          <w:tblCellMar>
            <w:top w:w="0" w:type="dxa"/>
            <w:left w:w="57" w:type="dxa"/>
            <w:bottom w:w="0" w:type="dxa"/>
            <w:right w:w="57" w:type="dxa"/>
          </w:tblCellMar>
        </w:tblPrEx>
        <w:trPr>
          <w:trHeight w:val="186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《行政机关公务员处分条例》</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第十九条</w:t>
            </w:r>
            <w:r>
              <w:rPr>
                <w:rFonts w:hint="eastAsia" w:ascii="宋体" w:hAnsi="宋体" w:eastAsia="宋体" w:cs="宋体"/>
                <w:kern w:val="0"/>
                <w:sz w:val="18"/>
                <w:szCs w:val="18"/>
              </w:rPr>
              <w:t>　有下列行为之一的，给予警告、记过或者记大过处分；情节较重的，给予降级或者撤职处分；情节严重的，给予开除处分：（一）负有领导责任的公务员违反议事规则，个人或者少数人决定重大事项，或者改变集体作出的重大决定的；（二）拒绝执行上级依法作出的决定、命令的；（三）拒不执行机关的交流决定的；（四）拒不执行人民法院对行政案件的判决、裁定或者监察机关、审计机关、行政复议机关作出的决定的；（五）违反规定应当回避而不回避，影响公正执行公务，造成不良后果的；（六）离任、辞职或者被辞退时，拒不办理公务交接手续或者拒不接受审计的；（七）旷工或者因公外出、请假期满无正当理由逾期不归，造成不良影响的；（八）其他违反组织纪律的行为。</w:t>
            </w:r>
          </w:p>
        </w:tc>
      </w:tr>
      <w:tr>
        <w:tblPrEx>
          <w:tblLayout w:type="fixed"/>
          <w:tblCellMar>
            <w:top w:w="0" w:type="dxa"/>
            <w:left w:w="57" w:type="dxa"/>
            <w:bottom w:w="0" w:type="dxa"/>
            <w:right w:w="57" w:type="dxa"/>
          </w:tblCellMar>
        </w:tblPrEx>
        <w:trPr>
          <w:trHeight w:val="126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《行政机关公务员处分条例》</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第二十一条</w:t>
            </w:r>
            <w:r>
              <w:rPr>
                <w:rFonts w:hint="eastAsia" w:ascii="宋体" w:hAnsi="宋体" w:eastAsia="宋体" w:cs="宋体"/>
                <w:kern w:val="0"/>
                <w:sz w:val="18"/>
                <w:szCs w:val="18"/>
              </w:rPr>
              <w:t>　有下列行为之一的，给予警告或者记过处分；情节较重的，给予记大过或者降级处分；情节严重的，给予撤职处分：（一）在行政许可工作中违反法定权限、条件和程序设定或者实施行政许可的；（二）违法设定或者实施行政强制措施的；（三）违法设定或者实施行政处罚的；（四）违反法律、法规规定进行行政委托的；（五）对需要政府、政府部门决定的招标投标、征收征用、城市房屋拆迁、拍卖等事项违反规定办理的。</w:t>
            </w:r>
          </w:p>
        </w:tc>
      </w:tr>
      <w:tr>
        <w:tblPrEx>
          <w:tblLayout w:type="fixed"/>
          <w:tblCellMar>
            <w:top w:w="0" w:type="dxa"/>
            <w:left w:w="57" w:type="dxa"/>
            <w:bottom w:w="0" w:type="dxa"/>
            <w:right w:w="57" w:type="dxa"/>
          </w:tblCellMar>
        </w:tblPrEx>
        <w:trPr>
          <w:trHeight w:val="108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《行政机关公务员处分条例》</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b/>
                <w:bCs/>
                <w:kern w:val="0"/>
                <w:sz w:val="18"/>
                <w:szCs w:val="18"/>
              </w:rPr>
              <w:t>第二十三条</w:t>
            </w:r>
            <w:r>
              <w:rPr>
                <w:rFonts w:hint="eastAsia" w:ascii="宋体" w:hAnsi="宋体" w:eastAsia="宋体" w:cs="宋体"/>
                <w:kern w:val="0"/>
                <w:sz w:val="18"/>
                <w:szCs w:val="18"/>
              </w:rPr>
              <w:t>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r>
      <w:tr>
        <w:tblPrEx>
          <w:tblLayout w:type="fixed"/>
          <w:tblCellMar>
            <w:top w:w="0" w:type="dxa"/>
            <w:left w:w="57" w:type="dxa"/>
            <w:bottom w:w="0" w:type="dxa"/>
            <w:right w:w="57" w:type="dxa"/>
          </w:tblCellMar>
        </w:tblPrEx>
        <w:trPr>
          <w:trHeight w:val="96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《行政机关公务员处分条例》</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r>
              <w:rPr>
                <w:rFonts w:hint="eastAsia" w:ascii="宋体" w:hAnsi="宋体" w:eastAsia="宋体" w:cs="宋体"/>
                <w:b/>
                <w:bCs/>
                <w:kern w:val="0"/>
                <w:sz w:val="18"/>
                <w:szCs w:val="18"/>
              </w:rPr>
              <w:t>第二十八条</w:t>
            </w:r>
            <w:r>
              <w:rPr>
                <w:rFonts w:hint="eastAsia" w:ascii="宋体" w:hAnsi="宋体" w:eastAsia="宋体" w:cs="宋体"/>
                <w:kern w:val="0"/>
                <w:sz w:val="18"/>
                <w:szCs w:val="18"/>
              </w:rPr>
              <w:t xml:space="preserve">　严重违反公务员职业道德，工作作风懈怠、工作态度恶劣，造成不良影响的，给予警告、记过或者记大过处分。         </w:t>
            </w:r>
          </w:p>
        </w:tc>
      </w:tr>
      <w:tr>
        <w:tblPrEx>
          <w:tblLayout w:type="fixed"/>
          <w:tblCellMar>
            <w:top w:w="0" w:type="dxa"/>
            <w:left w:w="57" w:type="dxa"/>
            <w:bottom w:w="0" w:type="dxa"/>
            <w:right w:w="57" w:type="dxa"/>
          </w:tblCellMar>
        </w:tblPrEx>
        <w:trPr>
          <w:trHeight w:val="1028"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17</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18"/>
                <w:szCs w:val="18"/>
              </w:rPr>
            </w:pPr>
            <w:r>
              <w:rPr>
                <w:rFonts w:hint="eastAsia" w:ascii="宋体" w:hAnsi="宋体" w:eastAsia="宋体" w:cs="宋体"/>
                <w:b/>
                <w:bCs/>
                <w:kern w:val="0"/>
                <w:sz w:val="18"/>
                <w:szCs w:val="18"/>
              </w:rPr>
              <w:t xml:space="preserve">   第五十五条</w:t>
            </w:r>
            <w:r>
              <w:rPr>
                <w:rFonts w:hint="eastAsia" w:ascii="宋体" w:hAnsi="宋体" w:eastAsia="宋体" w:cs="宋体"/>
                <w:kern w:val="0"/>
                <w:sz w:val="18"/>
                <w:szCs w:val="18"/>
              </w:rPr>
              <w:t>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tc>
      </w:tr>
      <w:tr>
        <w:tblPrEx>
          <w:tblLayout w:type="fixed"/>
          <w:tblCellMar>
            <w:top w:w="0" w:type="dxa"/>
            <w:left w:w="57" w:type="dxa"/>
            <w:bottom w:w="0" w:type="dxa"/>
            <w:right w:w="57" w:type="dxa"/>
          </w:tblCellMar>
        </w:tblPrEx>
        <w:trPr>
          <w:trHeight w:val="1397"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18"/>
                <w:szCs w:val="18"/>
              </w:rPr>
            </w:pPr>
            <w:r>
              <w:rPr>
                <w:rFonts w:hint="eastAsia" w:ascii="宋体" w:hAnsi="宋体" w:eastAsia="宋体" w:cs="宋体"/>
                <w:b/>
                <w:bCs/>
                <w:kern w:val="0"/>
                <w:sz w:val="18"/>
                <w:szCs w:val="18"/>
              </w:rPr>
              <w:t xml:space="preserve">   第五十八条</w:t>
            </w:r>
            <w:r>
              <w:rPr>
                <w:rFonts w:hint="eastAsia" w:ascii="宋体" w:hAnsi="宋体" w:eastAsia="宋体" w:cs="宋体"/>
                <w:kern w:val="0"/>
                <w:sz w:val="18"/>
                <w:szCs w:val="18"/>
              </w:rPr>
              <w:t>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r>
      <w:tr>
        <w:tblPrEx>
          <w:tblLayout w:type="fixed"/>
          <w:tblCellMar>
            <w:top w:w="0" w:type="dxa"/>
            <w:left w:w="57" w:type="dxa"/>
            <w:bottom w:w="0" w:type="dxa"/>
            <w:right w:w="57" w:type="dxa"/>
          </w:tblCellMar>
        </w:tblPrEx>
        <w:trPr>
          <w:trHeight w:val="1088"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19</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18"/>
                <w:szCs w:val="18"/>
              </w:rPr>
            </w:pPr>
            <w:r>
              <w:rPr>
                <w:rFonts w:hint="eastAsia" w:ascii="宋体" w:hAnsi="宋体" w:eastAsia="宋体" w:cs="宋体"/>
                <w:b/>
                <w:bCs/>
                <w:kern w:val="0"/>
                <w:sz w:val="18"/>
                <w:szCs w:val="18"/>
              </w:rPr>
              <w:t xml:space="preserve">   第六十一条</w:t>
            </w:r>
            <w:r>
              <w:rPr>
                <w:rFonts w:hint="eastAsia" w:ascii="宋体" w:hAnsi="宋体" w:eastAsia="宋体" w:cs="宋体"/>
                <w:kern w:val="0"/>
                <w:sz w:val="18"/>
                <w:szCs w:val="18"/>
              </w:rPr>
              <w:t>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tc>
      </w:tr>
      <w:tr>
        <w:tblPrEx>
          <w:tblLayout w:type="fixed"/>
          <w:tblCellMar>
            <w:top w:w="0" w:type="dxa"/>
            <w:left w:w="57" w:type="dxa"/>
            <w:bottom w:w="0" w:type="dxa"/>
            <w:right w:w="57" w:type="dxa"/>
          </w:tblCellMar>
        </w:tblPrEx>
        <w:trPr>
          <w:trHeight w:val="999"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《行政处罚法》</w:t>
            </w:r>
          </w:p>
        </w:tc>
        <w:tc>
          <w:tcPr>
            <w:tcW w:w="941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18"/>
                <w:szCs w:val="18"/>
              </w:rPr>
            </w:pPr>
            <w:r>
              <w:rPr>
                <w:rFonts w:hint="eastAsia" w:ascii="宋体" w:hAnsi="宋体" w:eastAsia="宋体" w:cs="宋体"/>
                <w:b/>
                <w:bCs/>
                <w:kern w:val="0"/>
                <w:sz w:val="18"/>
                <w:szCs w:val="18"/>
              </w:rPr>
              <w:t xml:space="preserve">   第六十二条</w:t>
            </w:r>
            <w:r>
              <w:rPr>
                <w:rFonts w:hint="eastAsia" w:ascii="宋体" w:hAnsi="宋体" w:eastAsia="宋体" w:cs="宋体"/>
                <w:kern w:val="0"/>
                <w:sz w:val="18"/>
                <w:szCs w:val="18"/>
              </w:rPr>
              <w:t xml:space="preserve">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tc>
      </w:tr>
      <w:tr>
        <w:tblPrEx>
          <w:tblLayout w:type="fixed"/>
          <w:tblCellMar>
            <w:top w:w="0" w:type="dxa"/>
            <w:left w:w="57" w:type="dxa"/>
            <w:bottom w:w="0" w:type="dxa"/>
            <w:right w:w="57" w:type="dxa"/>
          </w:tblCellMar>
        </w:tblPrEx>
        <w:trPr>
          <w:trHeight w:val="900" w:hRule="atLeast"/>
        </w:trPr>
        <w:tc>
          <w:tcPr>
            <w:tcW w:w="6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21</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《中国共产党纪律处分条例》</w:t>
            </w:r>
          </w:p>
        </w:tc>
        <w:tc>
          <w:tcPr>
            <w:tcW w:w="9419" w:type="dxa"/>
            <w:tcBorders>
              <w:top w:val="nil"/>
              <w:left w:val="nil"/>
              <w:bottom w:val="nil"/>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第六条</w:t>
            </w:r>
            <w:r>
              <w:rPr>
                <w:rFonts w:hint="eastAsia" w:ascii="宋体" w:hAnsi="宋体" w:eastAsia="宋体" w:cs="宋体"/>
                <w:kern w:val="0"/>
                <w:sz w:val="18"/>
                <w:szCs w:val="18"/>
              </w:rPr>
              <w:t xml:space="preserve"> 党组织和党员违反党章和其他党内法规，违反国家法律法规，违反党和国家政策，违反社会主义道德，危害党、国家和人民利益的行为，依照规定应当给予纪律处理或者处分的，都必须受到追究。</w:t>
            </w:r>
          </w:p>
        </w:tc>
      </w:tr>
      <w:tr>
        <w:tblPrEx>
          <w:tblLayout w:type="fixed"/>
          <w:tblCellMar>
            <w:top w:w="0" w:type="dxa"/>
            <w:left w:w="57" w:type="dxa"/>
            <w:bottom w:w="0" w:type="dxa"/>
            <w:right w:w="57" w:type="dxa"/>
          </w:tblCellMar>
        </w:tblPrEx>
        <w:trPr>
          <w:trHeight w:val="1779" w:hRule="atLeast"/>
        </w:trPr>
        <w:tc>
          <w:tcPr>
            <w:tcW w:w="666"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22</w:t>
            </w:r>
          </w:p>
        </w:tc>
        <w:tc>
          <w:tcPr>
            <w:tcW w:w="384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《中国共产党纪律处分条例》</w:t>
            </w:r>
          </w:p>
        </w:tc>
        <w:tc>
          <w:tcPr>
            <w:tcW w:w="9419"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w:t>
            </w:r>
            <w:r>
              <w:rPr>
                <w:rFonts w:hint="eastAsia" w:ascii="宋体" w:hAnsi="宋体" w:eastAsia="宋体" w:cs="宋体"/>
                <w:b/>
                <w:bCs/>
                <w:kern w:val="0"/>
                <w:sz w:val="18"/>
                <w:szCs w:val="18"/>
              </w:rPr>
              <w:t xml:space="preserve">第一百零五条 </w:t>
            </w:r>
            <w:r>
              <w:rPr>
                <w:rFonts w:hint="eastAsia" w:ascii="宋体" w:hAnsi="宋体" w:eastAsia="宋体" w:cs="宋体"/>
                <w:kern w:val="0"/>
                <w:sz w:val="18"/>
                <w:szCs w:val="18"/>
              </w:rPr>
              <w:t>有下列行为之一，对直接责任者和领导责任者，情节较轻的，给予警告或者严重警告处分；情节较重的，给予撤销党内职务或者留党察看处分；情节严重的，给予开除党籍处分：（一）超标准、超范围向群众筹资筹劳、摊派费用，加重群众负担的；（二）违反有关规定扣留、收缴群众款物或者处罚群众的；（三）克扣群众财物，或者违反有关规定拖欠群众钱款的；（四）在管理、服务活动中违反有关规定收取费用的；（五）在办理涉及群众事务时刁难群众、吃拿卡要的；（六）有其他侵害群众利益行为的。</w:t>
            </w:r>
          </w:p>
        </w:tc>
      </w:tr>
      <w:tr>
        <w:tblPrEx>
          <w:tblLayout w:type="fixed"/>
          <w:tblCellMar>
            <w:top w:w="0" w:type="dxa"/>
            <w:left w:w="57" w:type="dxa"/>
            <w:bottom w:w="0" w:type="dxa"/>
            <w:right w:w="57" w:type="dxa"/>
          </w:tblCellMar>
        </w:tblPrEx>
        <w:trPr>
          <w:trHeight w:val="574" w:hRule="atLeast"/>
        </w:trPr>
        <w:tc>
          <w:tcPr>
            <w:tcW w:w="6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23</w:t>
            </w:r>
          </w:p>
        </w:tc>
        <w:tc>
          <w:tcPr>
            <w:tcW w:w="132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其它法律法规规章的相关规定</w:t>
            </w:r>
          </w:p>
        </w:tc>
      </w:tr>
    </w:tbl>
    <w:p>
      <w:pPr>
        <w:widowControl/>
        <w:jc w:val="left"/>
        <w:rPr>
          <w:rFonts w:ascii="华文中宋" w:hAnsi="华文中宋" w:eastAsia="华文中宋" w:cs="宋体"/>
          <w:b/>
          <w:bCs/>
          <w:kern w:val="0"/>
          <w:sz w:val="44"/>
          <w:szCs w:val="44"/>
        </w:rPr>
      </w:pPr>
    </w:p>
    <w:p>
      <w:pPr>
        <w:rPr>
          <w:szCs w:val="44"/>
        </w:rPr>
      </w:pPr>
    </w:p>
    <w:sectPr>
      <w:headerReference r:id="rId3" w:type="default"/>
      <w:footerReference r:id="rId4" w:type="default"/>
      <w:pgSz w:w="16838" w:h="11906" w:orient="landscape"/>
      <w:pgMar w:top="1418" w:right="1134" w:bottom="1134" w:left="1701" w:header="851" w:footer="851" w:gutter="0"/>
      <w:pgNumType w:fmt="numberInDash" w:start="189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Shruti">
    <w:altName w:val="Sitka Text"/>
    <w:panose1 w:val="020005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Mongolian Baiti">
    <w:panose1 w:val="03000500000000000000"/>
    <w:charset w:val="00"/>
    <w:family w:val="script"/>
    <w:pitch w:val="default"/>
    <w:sig w:usb0="80000023" w:usb1="00000000" w:usb2="0002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0"/>
    <w:family w:val="auto"/>
    <w:pitch w:val="default"/>
    <w:sig w:usb0="E0002E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Estrangelo Edessa">
    <w:altName w:val="Mongolian Baiti"/>
    <w:panose1 w:val="03080600000000000000"/>
    <w:charset w:val="00"/>
    <w:family w:val="auto"/>
    <w:pitch w:val="default"/>
    <w:sig w:usb0="00000000" w:usb1="00000000" w:usb2="00000080" w:usb3="00000000" w:csb0="00000000" w:csb1="00000000"/>
  </w:font>
  <w:font w:name="Comic Sans MS">
    <w:panose1 w:val="030F0702030302020204"/>
    <w:charset w:val="00"/>
    <w:family w:val="auto"/>
    <w:pitch w:val="default"/>
    <w:sig w:usb0="00000287" w:usb1="00000013" w:usb2="00000000" w:usb3="00000000" w:csb0="2000009F"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Sitka Text">
    <w:panose1 w:val="02000505000000020004"/>
    <w:charset w:val="00"/>
    <w:family w:val="auto"/>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50140687"/>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50140687"/>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15A"/>
    <w:rsid w:val="0000532C"/>
    <w:rsid w:val="00005453"/>
    <w:rsid w:val="00013191"/>
    <w:rsid w:val="0002027E"/>
    <w:rsid w:val="00021958"/>
    <w:rsid w:val="0002310E"/>
    <w:rsid w:val="00023FE1"/>
    <w:rsid w:val="000261FA"/>
    <w:rsid w:val="00030D84"/>
    <w:rsid w:val="000314AF"/>
    <w:rsid w:val="000475C7"/>
    <w:rsid w:val="00053680"/>
    <w:rsid w:val="00055024"/>
    <w:rsid w:val="00062590"/>
    <w:rsid w:val="000650FE"/>
    <w:rsid w:val="00065491"/>
    <w:rsid w:val="00073A12"/>
    <w:rsid w:val="00094774"/>
    <w:rsid w:val="000A01AD"/>
    <w:rsid w:val="000A1757"/>
    <w:rsid w:val="000B34D9"/>
    <w:rsid w:val="000B4109"/>
    <w:rsid w:val="000C1C97"/>
    <w:rsid w:val="000C238A"/>
    <w:rsid w:val="000C4318"/>
    <w:rsid w:val="000C5182"/>
    <w:rsid w:val="000C5782"/>
    <w:rsid w:val="000C6E6D"/>
    <w:rsid w:val="000D0F55"/>
    <w:rsid w:val="000D5BA6"/>
    <w:rsid w:val="000E0B8B"/>
    <w:rsid w:val="000E37BA"/>
    <w:rsid w:val="000F0581"/>
    <w:rsid w:val="000F1C7F"/>
    <w:rsid w:val="000F27CF"/>
    <w:rsid w:val="00100C14"/>
    <w:rsid w:val="001013FC"/>
    <w:rsid w:val="001026F8"/>
    <w:rsid w:val="00113257"/>
    <w:rsid w:val="001171C1"/>
    <w:rsid w:val="001269F7"/>
    <w:rsid w:val="0012709F"/>
    <w:rsid w:val="001322E3"/>
    <w:rsid w:val="0013529E"/>
    <w:rsid w:val="001442A0"/>
    <w:rsid w:val="00144853"/>
    <w:rsid w:val="00151A38"/>
    <w:rsid w:val="00154F2E"/>
    <w:rsid w:val="00156255"/>
    <w:rsid w:val="0016113A"/>
    <w:rsid w:val="001636F0"/>
    <w:rsid w:val="00170C0F"/>
    <w:rsid w:val="00175FAC"/>
    <w:rsid w:val="0018599D"/>
    <w:rsid w:val="00186415"/>
    <w:rsid w:val="0019014C"/>
    <w:rsid w:val="00192A88"/>
    <w:rsid w:val="001A0CA4"/>
    <w:rsid w:val="001A1A2F"/>
    <w:rsid w:val="001A7D50"/>
    <w:rsid w:val="001B08B9"/>
    <w:rsid w:val="001B0B73"/>
    <w:rsid w:val="001B0FBD"/>
    <w:rsid w:val="001B2828"/>
    <w:rsid w:val="001B3C68"/>
    <w:rsid w:val="001B3E22"/>
    <w:rsid w:val="001B492C"/>
    <w:rsid w:val="001C24E1"/>
    <w:rsid w:val="001C526C"/>
    <w:rsid w:val="001D2976"/>
    <w:rsid w:val="001D2EA2"/>
    <w:rsid w:val="001D79F3"/>
    <w:rsid w:val="001E0B5E"/>
    <w:rsid w:val="001E425D"/>
    <w:rsid w:val="001E4497"/>
    <w:rsid w:val="001E52CA"/>
    <w:rsid w:val="001E5EDF"/>
    <w:rsid w:val="001F4561"/>
    <w:rsid w:val="001F4BC7"/>
    <w:rsid w:val="001F5DC1"/>
    <w:rsid w:val="001F7840"/>
    <w:rsid w:val="00200B0B"/>
    <w:rsid w:val="00201EF6"/>
    <w:rsid w:val="002021FA"/>
    <w:rsid w:val="00204E8C"/>
    <w:rsid w:val="00206CAD"/>
    <w:rsid w:val="002107CF"/>
    <w:rsid w:val="002170D5"/>
    <w:rsid w:val="0022012A"/>
    <w:rsid w:val="002226C4"/>
    <w:rsid w:val="00224241"/>
    <w:rsid w:val="002273F4"/>
    <w:rsid w:val="00236345"/>
    <w:rsid w:val="002364FD"/>
    <w:rsid w:val="00237D8B"/>
    <w:rsid w:val="002449A1"/>
    <w:rsid w:val="00246568"/>
    <w:rsid w:val="002507F6"/>
    <w:rsid w:val="00254B56"/>
    <w:rsid w:val="002663E9"/>
    <w:rsid w:val="00273CAD"/>
    <w:rsid w:val="00283CA2"/>
    <w:rsid w:val="00285276"/>
    <w:rsid w:val="00287507"/>
    <w:rsid w:val="002A4A98"/>
    <w:rsid w:val="002B241A"/>
    <w:rsid w:val="002B5FF8"/>
    <w:rsid w:val="002B635B"/>
    <w:rsid w:val="002B6423"/>
    <w:rsid w:val="002B6588"/>
    <w:rsid w:val="002B6B6A"/>
    <w:rsid w:val="002C28EA"/>
    <w:rsid w:val="002C3BB0"/>
    <w:rsid w:val="002C5CE0"/>
    <w:rsid w:val="002C7720"/>
    <w:rsid w:val="002D416A"/>
    <w:rsid w:val="002D4427"/>
    <w:rsid w:val="002E14BC"/>
    <w:rsid w:val="002F215A"/>
    <w:rsid w:val="002F581F"/>
    <w:rsid w:val="003048D7"/>
    <w:rsid w:val="00306E4A"/>
    <w:rsid w:val="00311754"/>
    <w:rsid w:val="00313762"/>
    <w:rsid w:val="00314105"/>
    <w:rsid w:val="003157F1"/>
    <w:rsid w:val="0031795E"/>
    <w:rsid w:val="00323D99"/>
    <w:rsid w:val="00327167"/>
    <w:rsid w:val="00331AB4"/>
    <w:rsid w:val="003320E6"/>
    <w:rsid w:val="00335A7D"/>
    <w:rsid w:val="003446B3"/>
    <w:rsid w:val="003454D8"/>
    <w:rsid w:val="00347EBC"/>
    <w:rsid w:val="00350884"/>
    <w:rsid w:val="00354DF2"/>
    <w:rsid w:val="00361332"/>
    <w:rsid w:val="003640DB"/>
    <w:rsid w:val="00366BF3"/>
    <w:rsid w:val="003678C7"/>
    <w:rsid w:val="00371300"/>
    <w:rsid w:val="00372DD1"/>
    <w:rsid w:val="00373046"/>
    <w:rsid w:val="003769CB"/>
    <w:rsid w:val="0038170A"/>
    <w:rsid w:val="00383509"/>
    <w:rsid w:val="00390789"/>
    <w:rsid w:val="0039337C"/>
    <w:rsid w:val="00397512"/>
    <w:rsid w:val="003A1330"/>
    <w:rsid w:val="003A151D"/>
    <w:rsid w:val="003A1778"/>
    <w:rsid w:val="003A59B2"/>
    <w:rsid w:val="003B2EB1"/>
    <w:rsid w:val="003B4E79"/>
    <w:rsid w:val="003C2576"/>
    <w:rsid w:val="003C39A4"/>
    <w:rsid w:val="003C4D5F"/>
    <w:rsid w:val="003D2902"/>
    <w:rsid w:val="003E1A2D"/>
    <w:rsid w:val="003E25CB"/>
    <w:rsid w:val="003E469D"/>
    <w:rsid w:val="00400F6B"/>
    <w:rsid w:val="0040380C"/>
    <w:rsid w:val="00406826"/>
    <w:rsid w:val="004101FF"/>
    <w:rsid w:val="004171B7"/>
    <w:rsid w:val="00420C95"/>
    <w:rsid w:val="00422095"/>
    <w:rsid w:val="00423805"/>
    <w:rsid w:val="00424E21"/>
    <w:rsid w:val="00425712"/>
    <w:rsid w:val="004260F2"/>
    <w:rsid w:val="004277FA"/>
    <w:rsid w:val="00427881"/>
    <w:rsid w:val="00431BB0"/>
    <w:rsid w:val="004338BB"/>
    <w:rsid w:val="0043691D"/>
    <w:rsid w:val="004404F1"/>
    <w:rsid w:val="004430ED"/>
    <w:rsid w:val="00444DEE"/>
    <w:rsid w:val="00446D87"/>
    <w:rsid w:val="00451DEA"/>
    <w:rsid w:val="00452B8B"/>
    <w:rsid w:val="004533EE"/>
    <w:rsid w:val="004541C6"/>
    <w:rsid w:val="0045657D"/>
    <w:rsid w:val="00456A90"/>
    <w:rsid w:val="00457519"/>
    <w:rsid w:val="00464DFE"/>
    <w:rsid w:val="00490526"/>
    <w:rsid w:val="00490B5F"/>
    <w:rsid w:val="004910E4"/>
    <w:rsid w:val="00493832"/>
    <w:rsid w:val="0049430C"/>
    <w:rsid w:val="004975E9"/>
    <w:rsid w:val="004A1CF5"/>
    <w:rsid w:val="004A69BD"/>
    <w:rsid w:val="004B39C5"/>
    <w:rsid w:val="004B73FB"/>
    <w:rsid w:val="004C0DF2"/>
    <w:rsid w:val="004C3398"/>
    <w:rsid w:val="004C5B49"/>
    <w:rsid w:val="004D0716"/>
    <w:rsid w:val="004E5634"/>
    <w:rsid w:val="004F0AFE"/>
    <w:rsid w:val="004F0D52"/>
    <w:rsid w:val="0050087E"/>
    <w:rsid w:val="00507836"/>
    <w:rsid w:val="00514A08"/>
    <w:rsid w:val="00514CB7"/>
    <w:rsid w:val="00520195"/>
    <w:rsid w:val="0052295D"/>
    <w:rsid w:val="00531CB3"/>
    <w:rsid w:val="00532458"/>
    <w:rsid w:val="0053246A"/>
    <w:rsid w:val="0053586B"/>
    <w:rsid w:val="00542C98"/>
    <w:rsid w:val="00545D0A"/>
    <w:rsid w:val="005530A4"/>
    <w:rsid w:val="00555F57"/>
    <w:rsid w:val="00556D49"/>
    <w:rsid w:val="00560FFD"/>
    <w:rsid w:val="0056423F"/>
    <w:rsid w:val="005672D9"/>
    <w:rsid w:val="00577D14"/>
    <w:rsid w:val="00590000"/>
    <w:rsid w:val="00590ADC"/>
    <w:rsid w:val="00592DFF"/>
    <w:rsid w:val="005A432F"/>
    <w:rsid w:val="005B12E5"/>
    <w:rsid w:val="005C22B0"/>
    <w:rsid w:val="005C6AAA"/>
    <w:rsid w:val="005D0A7A"/>
    <w:rsid w:val="005D2BF2"/>
    <w:rsid w:val="005D3702"/>
    <w:rsid w:val="005D7ACA"/>
    <w:rsid w:val="005E6CB3"/>
    <w:rsid w:val="005F01C3"/>
    <w:rsid w:val="005F2D14"/>
    <w:rsid w:val="005F2FD3"/>
    <w:rsid w:val="005F50C9"/>
    <w:rsid w:val="005F6DCD"/>
    <w:rsid w:val="0060095A"/>
    <w:rsid w:val="00601CF1"/>
    <w:rsid w:val="00603071"/>
    <w:rsid w:val="00603BD0"/>
    <w:rsid w:val="006069EE"/>
    <w:rsid w:val="006105DA"/>
    <w:rsid w:val="00613268"/>
    <w:rsid w:val="006158F6"/>
    <w:rsid w:val="00617DD0"/>
    <w:rsid w:val="00622EA7"/>
    <w:rsid w:val="00631CD7"/>
    <w:rsid w:val="0064248E"/>
    <w:rsid w:val="00645131"/>
    <w:rsid w:val="00645CA0"/>
    <w:rsid w:val="00657FED"/>
    <w:rsid w:val="006621EE"/>
    <w:rsid w:val="0067275A"/>
    <w:rsid w:val="0068036B"/>
    <w:rsid w:val="00686847"/>
    <w:rsid w:val="006958DC"/>
    <w:rsid w:val="00697A6D"/>
    <w:rsid w:val="006A5B5F"/>
    <w:rsid w:val="006A5F9B"/>
    <w:rsid w:val="006A635C"/>
    <w:rsid w:val="006A6ED2"/>
    <w:rsid w:val="006B0789"/>
    <w:rsid w:val="006B291A"/>
    <w:rsid w:val="006B2A9B"/>
    <w:rsid w:val="006B4E26"/>
    <w:rsid w:val="006C3A69"/>
    <w:rsid w:val="006C4A14"/>
    <w:rsid w:val="006C4A17"/>
    <w:rsid w:val="006D1D40"/>
    <w:rsid w:val="006D4B2E"/>
    <w:rsid w:val="006E11FB"/>
    <w:rsid w:val="006E48C2"/>
    <w:rsid w:val="006F07AA"/>
    <w:rsid w:val="006F0C7B"/>
    <w:rsid w:val="00700ECB"/>
    <w:rsid w:val="00706622"/>
    <w:rsid w:val="00706C16"/>
    <w:rsid w:val="0071199B"/>
    <w:rsid w:val="00713709"/>
    <w:rsid w:val="007173A2"/>
    <w:rsid w:val="00717405"/>
    <w:rsid w:val="007226C1"/>
    <w:rsid w:val="007267A5"/>
    <w:rsid w:val="0073037D"/>
    <w:rsid w:val="0074044B"/>
    <w:rsid w:val="00750314"/>
    <w:rsid w:val="00750B6E"/>
    <w:rsid w:val="00752461"/>
    <w:rsid w:val="0075306F"/>
    <w:rsid w:val="007552DD"/>
    <w:rsid w:val="007613CC"/>
    <w:rsid w:val="00761679"/>
    <w:rsid w:val="0076224C"/>
    <w:rsid w:val="00776A66"/>
    <w:rsid w:val="007772D4"/>
    <w:rsid w:val="00780693"/>
    <w:rsid w:val="00781515"/>
    <w:rsid w:val="00782DB2"/>
    <w:rsid w:val="00784146"/>
    <w:rsid w:val="0078505E"/>
    <w:rsid w:val="007942B7"/>
    <w:rsid w:val="007954B8"/>
    <w:rsid w:val="007A1E48"/>
    <w:rsid w:val="007B0EE8"/>
    <w:rsid w:val="007B52B1"/>
    <w:rsid w:val="007B7224"/>
    <w:rsid w:val="007C27C1"/>
    <w:rsid w:val="007C30D8"/>
    <w:rsid w:val="007C576C"/>
    <w:rsid w:val="007D041F"/>
    <w:rsid w:val="007D28A2"/>
    <w:rsid w:val="007D3D5F"/>
    <w:rsid w:val="007D568F"/>
    <w:rsid w:val="007D7B14"/>
    <w:rsid w:val="007E08A9"/>
    <w:rsid w:val="007F06A5"/>
    <w:rsid w:val="007F3144"/>
    <w:rsid w:val="007F32F1"/>
    <w:rsid w:val="007F577C"/>
    <w:rsid w:val="007F6522"/>
    <w:rsid w:val="00801125"/>
    <w:rsid w:val="008101F3"/>
    <w:rsid w:val="0081049A"/>
    <w:rsid w:val="00820349"/>
    <w:rsid w:val="00821979"/>
    <w:rsid w:val="0083478A"/>
    <w:rsid w:val="008378AE"/>
    <w:rsid w:val="008443EF"/>
    <w:rsid w:val="00850BD4"/>
    <w:rsid w:val="00855F3A"/>
    <w:rsid w:val="00857A22"/>
    <w:rsid w:val="00870785"/>
    <w:rsid w:val="008720A4"/>
    <w:rsid w:val="00876083"/>
    <w:rsid w:val="008860FA"/>
    <w:rsid w:val="0089040A"/>
    <w:rsid w:val="00892260"/>
    <w:rsid w:val="008959FA"/>
    <w:rsid w:val="0089790E"/>
    <w:rsid w:val="008A1270"/>
    <w:rsid w:val="008B0D64"/>
    <w:rsid w:val="008B2441"/>
    <w:rsid w:val="008B722D"/>
    <w:rsid w:val="008C21BE"/>
    <w:rsid w:val="008C223E"/>
    <w:rsid w:val="008C4AF8"/>
    <w:rsid w:val="008C54DF"/>
    <w:rsid w:val="008C6AEA"/>
    <w:rsid w:val="008C7897"/>
    <w:rsid w:val="008D7E98"/>
    <w:rsid w:val="008E01E1"/>
    <w:rsid w:val="008E6A18"/>
    <w:rsid w:val="008E7A05"/>
    <w:rsid w:val="008E7D55"/>
    <w:rsid w:val="008F20E2"/>
    <w:rsid w:val="009041AC"/>
    <w:rsid w:val="0090537F"/>
    <w:rsid w:val="00906C97"/>
    <w:rsid w:val="00923C6E"/>
    <w:rsid w:val="00924AA3"/>
    <w:rsid w:val="009254DE"/>
    <w:rsid w:val="00935D42"/>
    <w:rsid w:val="00956C5F"/>
    <w:rsid w:val="00964148"/>
    <w:rsid w:val="00964F63"/>
    <w:rsid w:val="009770C6"/>
    <w:rsid w:val="00977DC3"/>
    <w:rsid w:val="0098343E"/>
    <w:rsid w:val="0098652A"/>
    <w:rsid w:val="009945A3"/>
    <w:rsid w:val="00995687"/>
    <w:rsid w:val="00996C61"/>
    <w:rsid w:val="009A48D4"/>
    <w:rsid w:val="009B289B"/>
    <w:rsid w:val="009B321F"/>
    <w:rsid w:val="009B34C8"/>
    <w:rsid w:val="009B62C5"/>
    <w:rsid w:val="009B70DF"/>
    <w:rsid w:val="009B773E"/>
    <w:rsid w:val="009C036C"/>
    <w:rsid w:val="009C2230"/>
    <w:rsid w:val="009C33DB"/>
    <w:rsid w:val="009C4427"/>
    <w:rsid w:val="009C7B9D"/>
    <w:rsid w:val="009D6CD5"/>
    <w:rsid w:val="009E07B1"/>
    <w:rsid w:val="009E416D"/>
    <w:rsid w:val="009E472D"/>
    <w:rsid w:val="009F17F3"/>
    <w:rsid w:val="009F3F7D"/>
    <w:rsid w:val="009F5F2A"/>
    <w:rsid w:val="009F6CDE"/>
    <w:rsid w:val="00A0011D"/>
    <w:rsid w:val="00A033D9"/>
    <w:rsid w:val="00A06784"/>
    <w:rsid w:val="00A069F1"/>
    <w:rsid w:val="00A17C38"/>
    <w:rsid w:val="00A220F4"/>
    <w:rsid w:val="00A33A9E"/>
    <w:rsid w:val="00A42828"/>
    <w:rsid w:val="00A42A8F"/>
    <w:rsid w:val="00A43DB5"/>
    <w:rsid w:val="00A5074E"/>
    <w:rsid w:val="00A50E05"/>
    <w:rsid w:val="00A5316F"/>
    <w:rsid w:val="00A611DA"/>
    <w:rsid w:val="00A6254D"/>
    <w:rsid w:val="00A668AC"/>
    <w:rsid w:val="00A67C04"/>
    <w:rsid w:val="00A7369A"/>
    <w:rsid w:val="00A74BF8"/>
    <w:rsid w:val="00A81A1B"/>
    <w:rsid w:val="00A81C9B"/>
    <w:rsid w:val="00A83051"/>
    <w:rsid w:val="00A8391B"/>
    <w:rsid w:val="00A928DB"/>
    <w:rsid w:val="00A94772"/>
    <w:rsid w:val="00A97D16"/>
    <w:rsid w:val="00AA0142"/>
    <w:rsid w:val="00AA49AE"/>
    <w:rsid w:val="00AA59DD"/>
    <w:rsid w:val="00AA7081"/>
    <w:rsid w:val="00AB6981"/>
    <w:rsid w:val="00AB7EF0"/>
    <w:rsid w:val="00AC482A"/>
    <w:rsid w:val="00AD11F4"/>
    <w:rsid w:val="00AE26AB"/>
    <w:rsid w:val="00AE5BE9"/>
    <w:rsid w:val="00AE71AD"/>
    <w:rsid w:val="00AF247B"/>
    <w:rsid w:val="00B00F2B"/>
    <w:rsid w:val="00B01CC4"/>
    <w:rsid w:val="00B02DB6"/>
    <w:rsid w:val="00B039AE"/>
    <w:rsid w:val="00B1013F"/>
    <w:rsid w:val="00B12915"/>
    <w:rsid w:val="00B13829"/>
    <w:rsid w:val="00B1493C"/>
    <w:rsid w:val="00B20160"/>
    <w:rsid w:val="00B2247C"/>
    <w:rsid w:val="00B3242E"/>
    <w:rsid w:val="00B324CF"/>
    <w:rsid w:val="00B32BBF"/>
    <w:rsid w:val="00B3788F"/>
    <w:rsid w:val="00B37A2B"/>
    <w:rsid w:val="00B40836"/>
    <w:rsid w:val="00B43247"/>
    <w:rsid w:val="00B45E1A"/>
    <w:rsid w:val="00B519FF"/>
    <w:rsid w:val="00B5456E"/>
    <w:rsid w:val="00B56795"/>
    <w:rsid w:val="00B609A8"/>
    <w:rsid w:val="00B64E00"/>
    <w:rsid w:val="00B66052"/>
    <w:rsid w:val="00B720F3"/>
    <w:rsid w:val="00B75816"/>
    <w:rsid w:val="00B803DE"/>
    <w:rsid w:val="00B80F09"/>
    <w:rsid w:val="00B8123F"/>
    <w:rsid w:val="00B84DBE"/>
    <w:rsid w:val="00B963CA"/>
    <w:rsid w:val="00B96F36"/>
    <w:rsid w:val="00BA592B"/>
    <w:rsid w:val="00BB229A"/>
    <w:rsid w:val="00BB7CB9"/>
    <w:rsid w:val="00BC4BED"/>
    <w:rsid w:val="00BC5610"/>
    <w:rsid w:val="00BC6145"/>
    <w:rsid w:val="00BC6959"/>
    <w:rsid w:val="00BD1E5E"/>
    <w:rsid w:val="00BD25D9"/>
    <w:rsid w:val="00BD4C5A"/>
    <w:rsid w:val="00BD6B50"/>
    <w:rsid w:val="00BD7A09"/>
    <w:rsid w:val="00BF60E5"/>
    <w:rsid w:val="00BF7231"/>
    <w:rsid w:val="00C01C45"/>
    <w:rsid w:val="00C020AC"/>
    <w:rsid w:val="00C052A1"/>
    <w:rsid w:val="00C07FD1"/>
    <w:rsid w:val="00C15186"/>
    <w:rsid w:val="00C172A5"/>
    <w:rsid w:val="00C2219F"/>
    <w:rsid w:val="00C25BAF"/>
    <w:rsid w:val="00C27232"/>
    <w:rsid w:val="00C33511"/>
    <w:rsid w:val="00C3629B"/>
    <w:rsid w:val="00C36DA3"/>
    <w:rsid w:val="00C37C41"/>
    <w:rsid w:val="00C42A07"/>
    <w:rsid w:val="00C44428"/>
    <w:rsid w:val="00C519AD"/>
    <w:rsid w:val="00C55ABD"/>
    <w:rsid w:val="00C56543"/>
    <w:rsid w:val="00C623E1"/>
    <w:rsid w:val="00C705A8"/>
    <w:rsid w:val="00C75E79"/>
    <w:rsid w:val="00C81B90"/>
    <w:rsid w:val="00C82D70"/>
    <w:rsid w:val="00C837F9"/>
    <w:rsid w:val="00C85AD9"/>
    <w:rsid w:val="00C90517"/>
    <w:rsid w:val="00C97624"/>
    <w:rsid w:val="00CA3C4B"/>
    <w:rsid w:val="00CB2675"/>
    <w:rsid w:val="00CB2F90"/>
    <w:rsid w:val="00CB4240"/>
    <w:rsid w:val="00CB4833"/>
    <w:rsid w:val="00CC4226"/>
    <w:rsid w:val="00CC5921"/>
    <w:rsid w:val="00CC7051"/>
    <w:rsid w:val="00CD0497"/>
    <w:rsid w:val="00CD33B4"/>
    <w:rsid w:val="00CE291C"/>
    <w:rsid w:val="00CF5435"/>
    <w:rsid w:val="00D00CED"/>
    <w:rsid w:val="00D03524"/>
    <w:rsid w:val="00D1048C"/>
    <w:rsid w:val="00D10973"/>
    <w:rsid w:val="00D172F1"/>
    <w:rsid w:val="00D30C9C"/>
    <w:rsid w:val="00D30E73"/>
    <w:rsid w:val="00D336D7"/>
    <w:rsid w:val="00D34E20"/>
    <w:rsid w:val="00D352F0"/>
    <w:rsid w:val="00D36FD8"/>
    <w:rsid w:val="00D40B30"/>
    <w:rsid w:val="00D45CAB"/>
    <w:rsid w:val="00D578FE"/>
    <w:rsid w:val="00D63A1B"/>
    <w:rsid w:val="00D64B99"/>
    <w:rsid w:val="00D64EF6"/>
    <w:rsid w:val="00D66911"/>
    <w:rsid w:val="00D71E12"/>
    <w:rsid w:val="00D74C80"/>
    <w:rsid w:val="00D773BB"/>
    <w:rsid w:val="00D82B0C"/>
    <w:rsid w:val="00D86E9F"/>
    <w:rsid w:val="00D92007"/>
    <w:rsid w:val="00D946F6"/>
    <w:rsid w:val="00D948DE"/>
    <w:rsid w:val="00D948E0"/>
    <w:rsid w:val="00DA121C"/>
    <w:rsid w:val="00DA1A35"/>
    <w:rsid w:val="00DA300A"/>
    <w:rsid w:val="00DA3070"/>
    <w:rsid w:val="00DA4FDE"/>
    <w:rsid w:val="00DA76F4"/>
    <w:rsid w:val="00DB18BC"/>
    <w:rsid w:val="00DB2C8D"/>
    <w:rsid w:val="00DB383E"/>
    <w:rsid w:val="00DB7549"/>
    <w:rsid w:val="00DC0B55"/>
    <w:rsid w:val="00DD3909"/>
    <w:rsid w:val="00DD6F23"/>
    <w:rsid w:val="00DD764D"/>
    <w:rsid w:val="00DD7FEC"/>
    <w:rsid w:val="00DE76F0"/>
    <w:rsid w:val="00DF5641"/>
    <w:rsid w:val="00E007A4"/>
    <w:rsid w:val="00E0462E"/>
    <w:rsid w:val="00E06C69"/>
    <w:rsid w:val="00E20D21"/>
    <w:rsid w:val="00E220A7"/>
    <w:rsid w:val="00E25039"/>
    <w:rsid w:val="00E26562"/>
    <w:rsid w:val="00E26F50"/>
    <w:rsid w:val="00E27B5F"/>
    <w:rsid w:val="00E3199F"/>
    <w:rsid w:val="00E3666A"/>
    <w:rsid w:val="00E40106"/>
    <w:rsid w:val="00E448E1"/>
    <w:rsid w:val="00E524CE"/>
    <w:rsid w:val="00E52A2D"/>
    <w:rsid w:val="00E5626B"/>
    <w:rsid w:val="00E6171D"/>
    <w:rsid w:val="00E61F48"/>
    <w:rsid w:val="00E63410"/>
    <w:rsid w:val="00E67300"/>
    <w:rsid w:val="00E70638"/>
    <w:rsid w:val="00E726A2"/>
    <w:rsid w:val="00E7298F"/>
    <w:rsid w:val="00E777BB"/>
    <w:rsid w:val="00E77E8C"/>
    <w:rsid w:val="00E86627"/>
    <w:rsid w:val="00E87EAA"/>
    <w:rsid w:val="00E90274"/>
    <w:rsid w:val="00EA234E"/>
    <w:rsid w:val="00EA4B71"/>
    <w:rsid w:val="00EA61D6"/>
    <w:rsid w:val="00EA69A2"/>
    <w:rsid w:val="00EB22B9"/>
    <w:rsid w:val="00EB26C7"/>
    <w:rsid w:val="00EB2773"/>
    <w:rsid w:val="00EB3118"/>
    <w:rsid w:val="00EB7EAB"/>
    <w:rsid w:val="00EC686A"/>
    <w:rsid w:val="00ED0EE9"/>
    <w:rsid w:val="00ED5E65"/>
    <w:rsid w:val="00EE23E9"/>
    <w:rsid w:val="00EE30A8"/>
    <w:rsid w:val="00EE7CF8"/>
    <w:rsid w:val="00EF2C8B"/>
    <w:rsid w:val="00EF5196"/>
    <w:rsid w:val="00EF6F89"/>
    <w:rsid w:val="00F001F3"/>
    <w:rsid w:val="00F0123A"/>
    <w:rsid w:val="00F03B0A"/>
    <w:rsid w:val="00F11D0E"/>
    <w:rsid w:val="00F128A9"/>
    <w:rsid w:val="00F1369D"/>
    <w:rsid w:val="00F1413C"/>
    <w:rsid w:val="00F14A8D"/>
    <w:rsid w:val="00F14C7E"/>
    <w:rsid w:val="00F16287"/>
    <w:rsid w:val="00F17D45"/>
    <w:rsid w:val="00F20662"/>
    <w:rsid w:val="00F22286"/>
    <w:rsid w:val="00F24D11"/>
    <w:rsid w:val="00F26D60"/>
    <w:rsid w:val="00F335E9"/>
    <w:rsid w:val="00F359A1"/>
    <w:rsid w:val="00F402C5"/>
    <w:rsid w:val="00F41874"/>
    <w:rsid w:val="00F46F6A"/>
    <w:rsid w:val="00F5211B"/>
    <w:rsid w:val="00F56AB5"/>
    <w:rsid w:val="00F63FE6"/>
    <w:rsid w:val="00F641BF"/>
    <w:rsid w:val="00F6582D"/>
    <w:rsid w:val="00F66612"/>
    <w:rsid w:val="00F703EC"/>
    <w:rsid w:val="00F7122B"/>
    <w:rsid w:val="00F80032"/>
    <w:rsid w:val="00F83D17"/>
    <w:rsid w:val="00F91962"/>
    <w:rsid w:val="00F94558"/>
    <w:rsid w:val="00F94BD6"/>
    <w:rsid w:val="00F959E7"/>
    <w:rsid w:val="00F969B9"/>
    <w:rsid w:val="00F96ED5"/>
    <w:rsid w:val="00F97089"/>
    <w:rsid w:val="00FA0FB1"/>
    <w:rsid w:val="00FA10BB"/>
    <w:rsid w:val="00FA20CC"/>
    <w:rsid w:val="00FA363A"/>
    <w:rsid w:val="00FA7261"/>
    <w:rsid w:val="00FB192E"/>
    <w:rsid w:val="00FC01C2"/>
    <w:rsid w:val="00FC49D3"/>
    <w:rsid w:val="00FC7426"/>
    <w:rsid w:val="00FC78A1"/>
    <w:rsid w:val="00FD07EC"/>
    <w:rsid w:val="00FD461C"/>
    <w:rsid w:val="00FE3DB1"/>
    <w:rsid w:val="00FE45B9"/>
    <w:rsid w:val="00FE50ED"/>
    <w:rsid w:val="00FE6EDE"/>
    <w:rsid w:val="00FF0E88"/>
    <w:rsid w:val="046F3155"/>
    <w:rsid w:val="047F7F96"/>
    <w:rsid w:val="06B3208A"/>
    <w:rsid w:val="07C60C4D"/>
    <w:rsid w:val="07E14CFA"/>
    <w:rsid w:val="081906D7"/>
    <w:rsid w:val="102B2696"/>
    <w:rsid w:val="13AE7D5A"/>
    <w:rsid w:val="17D65BAB"/>
    <w:rsid w:val="183945CA"/>
    <w:rsid w:val="1BAD031F"/>
    <w:rsid w:val="1CE0656D"/>
    <w:rsid w:val="1E574E55"/>
    <w:rsid w:val="1EB02F65"/>
    <w:rsid w:val="1F006641"/>
    <w:rsid w:val="23C742C2"/>
    <w:rsid w:val="24B27742"/>
    <w:rsid w:val="2509234F"/>
    <w:rsid w:val="264B61DF"/>
    <w:rsid w:val="27547D16"/>
    <w:rsid w:val="28E0749D"/>
    <w:rsid w:val="29E22543"/>
    <w:rsid w:val="2B62173A"/>
    <w:rsid w:val="30773D10"/>
    <w:rsid w:val="30D675AD"/>
    <w:rsid w:val="33AF005B"/>
    <w:rsid w:val="340C4B71"/>
    <w:rsid w:val="36AF5145"/>
    <w:rsid w:val="36D60888"/>
    <w:rsid w:val="3F345DBE"/>
    <w:rsid w:val="3F3D21F8"/>
    <w:rsid w:val="41570042"/>
    <w:rsid w:val="41EC0221"/>
    <w:rsid w:val="432C4745"/>
    <w:rsid w:val="44357175"/>
    <w:rsid w:val="449B239D"/>
    <w:rsid w:val="44D559FA"/>
    <w:rsid w:val="462D4249"/>
    <w:rsid w:val="46A214FE"/>
    <w:rsid w:val="4A473F62"/>
    <w:rsid w:val="4B3002E7"/>
    <w:rsid w:val="4B416003"/>
    <w:rsid w:val="4E1A0CAF"/>
    <w:rsid w:val="51443D5C"/>
    <w:rsid w:val="52295F56"/>
    <w:rsid w:val="561C0E57"/>
    <w:rsid w:val="572069FE"/>
    <w:rsid w:val="5CD82E37"/>
    <w:rsid w:val="63CA2346"/>
    <w:rsid w:val="66686491"/>
    <w:rsid w:val="6C7D060B"/>
    <w:rsid w:val="760E5F3E"/>
    <w:rsid w:val="767D3370"/>
    <w:rsid w:val="7AAF5FD7"/>
    <w:rsid w:val="7B885CBA"/>
    <w:rsid w:val="7D337EF4"/>
    <w:rsid w:val="7D6619C8"/>
    <w:rsid w:val="7E335899"/>
  </w:rsids>
  <m:mathPr>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2"/>
    <w:unhideWhenUsed/>
    <w:qFormat/>
    <w:uiPriority w:val="99"/>
    <w:pPr>
      <w:tabs>
        <w:tab w:val="center" w:pos="4153"/>
        <w:tab w:val="right" w:pos="8306"/>
      </w:tabs>
      <w:snapToGrid w:val="0"/>
      <w:jc w:val="left"/>
    </w:pPr>
    <w:rPr>
      <w:sz w:val="18"/>
      <w:szCs w:val="22"/>
    </w:rPr>
  </w:style>
  <w:style w:type="paragraph" w:styleId="3">
    <w:name w:val="header"/>
    <w:basedOn w:val="1"/>
    <w:link w:val="111"/>
    <w:unhideWhenUsed/>
    <w:qFormat/>
    <w:uiPriority w:val="99"/>
    <w:pPr>
      <w:pBdr>
        <w:bottom w:val="single" w:color="auto" w:sz="6" w:space="1"/>
      </w:pBdr>
      <w:tabs>
        <w:tab w:val="center" w:pos="4153"/>
        <w:tab w:val="right" w:pos="8306"/>
      </w:tabs>
      <w:snapToGrid w:val="0"/>
      <w:jc w:val="center"/>
    </w:pPr>
    <w:rPr>
      <w:sz w:val="18"/>
      <w:szCs w:val="22"/>
    </w:rPr>
  </w:style>
  <w:style w:type="character" w:styleId="5">
    <w:name w:val="FollowedHyperlink"/>
    <w:basedOn w:val="4"/>
    <w:unhideWhenUsed/>
    <w:qFormat/>
    <w:uiPriority w:val="99"/>
    <w:rPr>
      <w:color w:val="800080"/>
      <w:u w:val="single"/>
    </w:rPr>
  </w:style>
  <w:style w:type="character" w:styleId="6">
    <w:name w:val="Hyperlink"/>
    <w:basedOn w:val="4"/>
    <w:unhideWhenUsed/>
    <w:qFormat/>
    <w:uiPriority w:val="99"/>
    <w:rPr>
      <w:color w:val="0000FF"/>
      <w:u w:val="single"/>
    </w:rPr>
  </w:style>
  <w:style w:type="paragraph" w:customStyle="1" w:styleId="8">
    <w:name w:val="标题1"/>
    <w:basedOn w:val="1"/>
    <w:link w:val="9"/>
    <w:qFormat/>
    <w:uiPriority w:val="0"/>
    <w:pPr>
      <w:widowControl/>
      <w:jc w:val="center"/>
    </w:pPr>
    <w:rPr>
      <w:rFonts w:ascii="华文中宋" w:hAnsi="华文中宋" w:eastAsia="华文中宋" w:cs="宋体"/>
      <w:b/>
      <w:bCs/>
      <w:color w:val="FF0000"/>
      <w:kern w:val="0"/>
      <w:sz w:val="44"/>
      <w:szCs w:val="44"/>
    </w:rPr>
  </w:style>
  <w:style w:type="character" w:customStyle="1" w:styleId="9">
    <w:name w:val="标题1 Char"/>
    <w:basedOn w:val="4"/>
    <w:link w:val="8"/>
    <w:qFormat/>
    <w:uiPriority w:val="0"/>
    <w:rPr>
      <w:rFonts w:ascii="华文中宋" w:hAnsi="华文中宋" w:eastAsia="华文中宋" w:cs="宋体"/>
      <w:b/>
      <w:bCs/>
      <w:color w:val="FF0000"/>
      <w:kern w:val="0"/>
      <w:sz w:val="44"/>
      <w:szCs w:val="44"/>
    </w:rPr>
  </w:style>
  <w:style w:type="paragraph" w:customStyle="1" w:styleId="10">
    <w:name w:val="（一）"/>
    <w:basedOn w:val="1"/>
    <w:link w:val="11"/>
    <w:qFormat/>
    <w:uiPriority w:val="0"/>
    <w:pPr>
      <w:widowControl/>
      <w:jc w:val="left"/>
    </w:pPr>
    <w:rPr>
      <w:rFonts w:ascii="仿宋" w:hAnsi="仿宋" w:eastAsia="仿宋" w:cs="宋体"/>
      <w:color w:val="C00000"/>
      <w:kern w:val="0"/>
      <w:sz w:val="32"/>
      <w:szCs w:val="32"/>
    </w:rPr>
  </w:style>
  <w:style w:type="character" w:customStyle="1" w:styleId="11">
    <w:name w:val="（一） Char"/>
    <w:basedOn w:val="4"/>
    <w:link w:val="10"/>
    <w:qFormat/>
    <w:uiPriority w:val="0"/>
    <w:rPr>
      <w:rFonts w:ascii="仿宋" w:hAnsi="仿宋" w:eastAsia="仿宋" w:cs="宋体"/>
      <w:color w:val="C00000"/>
      <w:kern w:val="0"/>
      <w:sz w:val="32"/>
      <w:szCs w:val="32"/>
    </w:rPr>
  </w:style>
  <w:style w:type="paragraph" w:customStyle="1" w:styleId="12">
    <w:name w:val="表头"/>
    <w:basedOn w:val="1"/>
    <w:link w:val="13"/>
    <w:qFormat/>
    <w:uiPriority w:val="0"/>
    <w:pPr>
      <w:widowControl/>
      <w:jc w:val="center"/>
    </w:pPr>
    <w:rPr>
      <w:rFonts w:ascii="楷体" w:hAnsi="楷体" w:eastAsia="楷体" w:cs="宋体"/>
      <w:b/>
      <w:bCs/>
      <w:color w:val="0070C0"/>
      <w:kern w:val="0"/>
      <w:sz w:val="24"/>
      <w:szCs w:val="24"/>
    </w:rPr>
  </w:style>
  <w:style w:type="character" w:customStyle="1" w:styleId="13">
    <w:name w:val="表头 Char"/>
    <w:basedOn w:val="4"/>
    <w:link w:val="12"/>
    <w:qFormat/>
    <w:uiPriority w:val="0"/>
    <w:rPr>
      <w:rFonts w:ascii="楷体" w:hAnsi="楷体" w:eastAsia="楷体" w:cs="宋体"/>
      <w:b/>
      <w:bCs/>
      <w:color w:val="0070C0"/>
      <w:kern w:val="0"/>
      <w:sz w:val="24"/>
      <w:szCs w:val="24"/>
    </w:rPr>
  </w:style>
  <w:style w:type="character" w:customStyle="1" w:styleId="14">
    <w:name w:val="font11"/>
    <w:basedOn w:val="4"/>
    <w:qFormat/>
    <w:uiPriority w:val="0"/>
    <w:rPr>
      <w:rFonts w:hint="eastAsia" w:ascii="宋体" w:hAnsi="宋体" w:eastAsia="宋体"/>
      <w:b/>
      <w:bCs/>
      <w:color w:val="000000"/>
      <w:sz w:val="18"/>
      <w:szCs w:val="18"/>
      <w:u w:val="none"/>
    </w:rPr>
  </w:style>
  <w:style w:type="character" w:customStyle="1" w:styleId="15">
    <w:name w:val="font21"/>
    <w:basedOn w:val="4"/>
    <w:qFormat/>
    <w:uiPriority w:val="0"/>
    <w:rPr>
      <w:rFonts w:hint="eastAsia" w:ascii="宋体" w:hAnsi="宋体" w:eastAsia="宋体"/>
      <w:color w:val="000000"/>
      <w:sz w:val="18"/>
      <w:szCs w:val="18"/>
      <w:u w:val="none"/>
    </w:rPr>
  </w:style>
  <w:style w:type="character" w:customStyle="1" w:styleId="16">
    <w:name w:val="font31"/>
    <w:basedOn w:val="4"/>
    <w:qFormat/>
    <w:uiPriority w:val="0"/>
    <w:rPr>
      <w:rFonts w:hint="eastAsia" w:ascii="宋体" w:hAnsi="宋体" w:eastAsia="宋体"/>
      <w:b/>
      <w:bCs/>
      <w:color w:val="000000"/>
      <w:sz w:val="18"/>
      <w:szCs w:val="18"/>
      <w:u w:val="none"/>
    </w:rPr>
  </w:style>
  <w:style w:type="character" w:customStyle="1" w:styleId="17">
    <w:name w:val="font41"/>
    <w:basedOn w:val="4"/>
    <w:qFormat/>
    <w:uiPriority w:val="0"/>
    <w:rPr>
      <w:rFonts w:hint="eastAsia" w:ascii="宋体" w:hAnsi="宋体" w:eastAsia="宋体"/>
      <w:color w:val="000000"/>
      <w:sz w:val="18"/>
      <w:szCs w:val="18"/>
      <w:u w:val="none"/>
    </w:rPr>
  </w:style>
  <w:style w:type="paragraph" w:customStyle="1" w:styleId="1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9">
    <w:name w:val="font6"/>
    <w:basedOn w:val="1"/>
    <w:qFormat/>
    <w:uiPriority w:val="0"/>
    <w:pPr>
      <w:widowControl/>
      <w:spacing w:before="100" w:beforeAutospacing="1" w:after="100" w:afterAutospacing="1"/>
      <w:jc w:val="left"/>
    </w:pPr>
    <w:rPr>
      <w:rFonts w:ascii="宋体" w:hAnsi="宋体" w:eastAsia="宋体" w:cs="宋体"/>
      <w:b/>
      <w:bCs/>
      <w:kern w:val="0"/>
      <w:sz w:val="18"/>
      <w:szCs w:val="18"/>
    </w:rPr>
  </w:style>
  <w:style w:type="paragraph" w:customStyle="1" w:styleId="20">
    <w:name w:val="font7"/>
    <w:basedOn w:val="1"/>
    <w:qFormat/>
    <w:uiPriority w:val="0"/>
    <w:pPr>
      <w:widowControl/>
      <w:spacing w:before="100" w:beforeAutospacing="1" w:after="100" w:afterAutospacing="1"/>
      <w:jc w:val="left"/>
    </w:pPr>
    <w:rPr>
      <w:rFonts w:ascii="宋体" w:hAnsi="宋体" w:eastAsia="宋体" w:cs="宋体"/>
      <w:b/>
      <w:bCs/>
      <w:i/>
      <w:iCs/>
      <w:kern w:val="0"/>
      <w:sz w:val="18"/>
      <w:szCs w:val="18"/>
    </w:rPr>
  </w:style>
  <w:style w:type="paragraph" w:customStyle="1" w:styleId="21">
    <w:name w:val="xl114"/>
    <w:basedOn w:val="1"/>
    <w:qFormat/>
    <w:uiPriority w:val="0"/>
    <w:pPr>
      <w:widowControl/>
      <w:spacing w:before="100" w:beforeAutospacing="1" w:after="100" w:afterAutospacing="1"/>
      <w:jc w:val="left"/>
    </w:pPr>
    <w:rPr>
      <w:rFonts w:ascii="楷体" w:hAnsi="楷体" w:eastAsia="楷体" w:cs="宋体"/>
      <w:kern w:val="0"/>
      <w:sz w:val="24"/>
      <w:szCs w:val="24"/>
    </w:rPr>
  </w:style>
  <w:style w:type="paragraph" w:customStyle="1" w:styleId="2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 w:hAnsi="楷体" w:eastAsia="楷体" w:cs="宋体"/>
      <w:b/>
      <w:bCs/>
      <w:kern w:val="0"/>
      <w:sz w:val="24"/>
      <w:szCs w:val="24"/>
    </w:rPr>
  </w:style>
  <w:style w:type="paragraph" w:customStyle="1" w:styleId="23">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24">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25">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26">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18"/>
      <w:szCs w:val="18"/>
    </w:rPr>
  </w:style>
  <w:style w:type="paragraph" w:customStyle="1" w:styleId="27">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28">
    <w:name w:val="xl12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9">
    <w:name w:val="xl12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宋体" w:hAnsi="宋体" w:eastAsia="宋体" w:cs="宋体"/>
      <w:b/>
      <w:bCs/>
      <w:kern w:val="0"/>
      <w:sz w:val="18"/>
      <w:szCs w:val="18"/>
    </w:rPr>
  </w:style>
  <w:style w:type="paragraph" w:customStyle="1" w:styleId="3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32">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18"/>
      <w:szCs w:val="18"/>
    </w:rPr>
  </w:style>
  <w:style w:type="paragraph" w:customStyle="1" w:styleId="33">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18"/>
      <w:szCs w:val="18"/>
    </w:rPr>
  </w:style>
  <w:style w:type="paragraph" w:customStyle="1" w:styleId="34">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18"/>
      <w:szCs w:val="18"/>
    </w:rPr>
  </w:style>
  <w:style w:type="paragraph" w:customStyle="1" w:styleId="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36">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kern w:val="0"/>
      <w:sz w:val="18"/>
      <w:szCs w:val="18"/>
    </w:rPr>
  </w:style>
  <w:style w:type="paragraph" w:customStyle="1" w:styleId="37">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38">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39">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kern w:val="0"/>
      <w:sz w:val="18"/>
      <w:szCs w:val="18"/>
    </w:rPr>
  </w:style>
  <w:style w:type="paragraph" w:customStyle="1" w:styleId="40">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b/>
      <w:bCs/>
      <w:kern w:val="0"/>
      <w:sz w:val="18"/>
      <w:szCs w:val="18"/>
    </w:rPr>
  </w:style>
  <w:style w:type="paragraph" w:customStyle="1" w:styleId="4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宋体" w:hAnsi="宋体" w:eastAsia="宋体" w:cs="宋体"/>
      <w:kern w:val="0"/>
      <w:sz w:val="18"/>
      <w:szCs w:val="18"/>
    </w:rPr>
  </w:style>
  <w:style w:type="paragraph" w:customStyle="1" w:styleId="42">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4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44">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45">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46">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47">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48">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18"/>
      <w:szCs w:val="18"/>
    </w:rPr>
  </w:style>
  <w:style w:type="paragraph" w:customStyle="1" w:styleId="49">
    <w:name w:val="xl1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8"/>
      <w:szCs w:val="18"/>
    </w:rPr>
  </w:style>
  <w:style w:type="paragraph" w:customStyle="1" w:styleId="50">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18"/>
      <w:szCs w:val="18"/>
    </w:rPr>
  </w:style>
  <w:style w:type="paragraph" w:customStyle="1" w:styleId="51">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5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53">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54">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55">
    <w:name w:val="xl148"/>
    <w:basedOn w:val="1"/>
    <w:qFormat/>
    <w:uiPriority w:val="0"/>
    <w:pPr>
      <w:widowControl/>
      <w:spacing w:before="100" w:beforeAutospacing="1" w:after="100" w:afterAutospacing="1"/>
      <w:jc w:val="left"/>
    </w:pPr>
    <w:rPr>
      <w:rFonts w:ascii="仿宋" w:hAnsi="仿宋" w:eastAsia="仿宋" w:cs="宋体"/>
      <w:kern w:val="0"/>
      <w:sz w:val="32"/>
      <w:szCs w:val="32"/>
    </w:rPr>
  </w:style>
  <w:style w:type="paragraph" w:customStyle="1" w:styleId="56">
    <w:name w:val="列出段落1"/>
    <w:basedOn w:val="1"/>
    <w:qFormat/>
    <w:uiPriority w:val="34"/>
    <w:pPr>
      <w:ind w:firstLine="420" w:firstLineChars="200"/>
    </w:pPr>
  </w:style>
  <w:style w:type="paragraph" w:customStyle="1" w:styleId="5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楷体" w:hAnsi="楷体" w:eastAsia="楷体" w:cs="宋体"/>
      <w:b/>
      <w:bCs/>
      <w:kern w:val="0"/>
      <w:sz w:val="24"/>
      <w:szCs w:val="24"/>
    </w:rPr>
  </w:style>
  <w:style w:type="paragraph" w:customStyle="1" w:styleId="58">
    <w:name w:val="xl81"/>
    <w:basedOn w:val="1"/>
    <w:qFormat/>
    <w:uiPriority w:val="0"/>
    <w:pPr>
      <w:widowControl/>
      <w:spacing w:before="100" w:beforeAutospacing="1" w:after="100" w:afterAutospacing="1"/>
      <w:jc w:val="left"/>
      <w:textAlignment w:val="center"/>
    </w:pPr>
    <w:rPr>
      <w:rFonts w:ascii="仿宋" w:hAnsi="仿宋" w:eastAsia="仿宋" w:cs="宋体"/>
      <w:kern w:val="0"/>
      <w:sz w:val="28"/>
    </w:rPr>
  </w:style>
  <w:style w:type="paragraph" w:customStyle="1" w:styleId="59">
    <w:name w:val="xl82"/>
    <w:basedOn w:val="1"/>
    <w:qFormat/>
    <w:uiPriority w:val="0"/>
    <w:pPr>
      <w:widowControl/>
      <w:spacing w:before="100" w:beforeAutospacing="1" w:after="100" w:afterAutospacing="1"/>
      <w:jc w:val="left"/>
      <w:textAlignment w:val="center"/>
    </w:pPr>
    <w:rPr>
      <w:rFonts w:ascii="楷体" w:hAnsi="楷体" w:eastAsia="楷体" w:cs="宋体"/>
      <w:b/>
      <w:bCs/>
      <w:kern w:val="0"/>
      <w:sz w:val="24"/>
      <w:szCs w:val="24"/>
    </w:rPr>
  </w:style>
  <w:style w:type="paragraph" w:customStyle="1" w:styleId="60">
    <w:name w:val="xl83"/>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61">
    <w:name w:val="xl84"/>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62">
    <w:name w:val="xl85"/>
    <w:basedOn w:val="1"/>
    <w:qFormat/>
    <w:uiPriority w:val="0"/>
    <w:pPr>
      <w:widowControl/>
      <w:spacing w:before="100" w:beforeAutospacing="1" w:after="100" w:afterAutospacing="1"/>
      <w:jc w:val="left"/>
      <w:textAlignment w:val="center"/>
    </w:pPr>
    <w:rPr>
      <w:rFonts w:ascii="宋体" w:hAnsi="宋体" w:eastAsia="宋体" w:cs="宋体"/>
      <w:kern w:val="0"/>
      <w:sz w:val="14"/>
      <w:szCs w:val="14"/>
    </w:rPr>
  </w:style>
  <w:style w:type="paragraph" w:customStyle="1" w:styleId="63">
    <w:name w:val="xl86"/>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4">
    <w:name w:val="xl87"/>
    <w:basedOn w:val="1"/>
    <w:qFormat/>
    <w:uiPriority w:val="0"/>
    <w:pPr>
      <w:widowControl/>
      <w:spacing w:before="100" w:beforeAutospacing="1" w:after="100" w:afterAutospacing="1"/>
      <w:jc w:val="left"/>
      <w:textAlignment w:val="center"/>
    </w:pPr>
    <w:rPr>
      <w:rFonts w:ascii="宋体" w:hAnsi="宋体" w:eastAsia="宋体" w:cs="宋体"/>
      <w:kern w:val="0"/>
      <w:sz w:val="14"/>
      <w:szCs w:val="14"/>
    </w:rPr>
  </w:style>
  <w:style w:type="paragraph" w:customStyle="1" w:styleId="65">
    <w:name w:val="xl88"/>
    <w:basedOn w:val="1"/>
    <w:qFormat/>
    <w:uiPriority w:val="0"/>
    <w:pPr>
      <w:widowControl/>
      <w:shd w:val="clear" w:color="000000" w:fill="FFFFFF"/>
      <w:spacing w:before="100" w:beforeAutospacing="1" w:after="100" w:afterAutospacing="1"/>
      <w:jc w:val="left"/>
      <w:textAlignment w:val="center"/>
    </w:pPr>
    <w:rPr>
      <w:rFonts w:ascii="宋体" w:hAnsi="宋体" w:eastAsia="宋体" w:cs="宋体"/>
      <w:kern w:val="0"/>
      <w:sz w:val="14"/>
      <w:szCs w:val="14"/>
    </w:rPr>
  </w:style>
  <w:style w:type="paragraph" w:customStyle="1" w:styleId="66">
    <w:name w:val="xl89"/>
    <w:basedOn w:val="1"/>
    <w:qFormat/>
    <w:uiPriority w:val="0"/>
    <w:pPr>
      <w:widowControl/>
      <w:shd w:val="clear" w:color="000000" w:fill="FFFFFF"/>
      <w:spacing w:before="100" w:beforeAutospacing="1" w:after="100" w:afterAutospacing="1"/>
      <w:jc w:val="left"/>
      <w:textAlignment w:val="center"/>
    </w:pPr>
    <w:rPr>
      <w:rFonts w:ascii="宋体" w:hAnsi="宋体" w:eastAsia="宋体" w:cs="宋体"/>
      <w:kern w:val="0"/>
      <w:sz w:val="12"/>
      <w:szCs w:val="12"/>
    </w:rPr>
  </w:style>
  <w:style w:type="paragraph" w:customStyle="1" w:styleId="67">
    <w:name w:val="xl90"/>
    <w:basedOn w:val="1"/>
    <w:qFormat/>
    <w:uiPriority w:val="0"/>
    <w:pPr>
      <w:widowControl/>
      <w:spacing w:before="100" w:beforeAutospacing="1" w:after="100" w:afterAutospacing="1"/>
      <w:jc w:val="left"/>
      <w:textAlignment w:val="center"/>
    </w:pPr>
    <w:rPr>
      <w:rFonts w:ascii="宋体" w:hAnsi="宋体" w:eastAsia="宋体" w:cs="宋体"/>
      <w:kern w:val="0"/>
      <w:sz w:val="16"/>
      <w:szCs w:val="16"/>
    </w:rPr>
  </w:style>
  <w:style w:type="paragraph" w:customStyle="1" w:styleId="6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6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70">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b/>
      <w:bCs/>
      <w:color w:val="000000"/>
      <w:kern w:val="0"/>
      <w:sz w:val="18"/>
      <w:szCs w:val="18"/>
    </w:rPr>
  </w:style>
  <w:style w:type="paragraph" w:customStyle="1" w:styleId="71">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18"/>
      <w:szCs w:val="18"/>
    </w:rPr>
  </w:style>
  <w:style w:type="paragraph" w:customStyle="1" w:styleId="7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73">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b/>
      <w:bCs/>
      <w:color w:val="000000"/>
      <w:kern w:val="0"/>
      <w:sz w:val="18"/>
      <w:szCs w:val="18"/>
    </w:rPr>
  </w:style>
  <w:style w:type="paragraph" w:customStyle="1" w:styleId="7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75">
    <w:name w:val="xl9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76">
    <w:name w:val="xl99"/>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b/>
      <w:bCs/>
      <w:color w:val="000000"/>
      <w:kern w:val="0"/>
      <w:sz w:val="18"/>
      <w:szCs w:val="18"/>
    </w:rPr>
  </w:style>
  <w:style w:type="paragraph" w:customStyle="1" w:styleId="77">
    <w:name w:val="xl100"/>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18"/>
      <w:szCs w:val="18"/>
    </w:rPr>
  </w:style>
  <w:style w:type="paragraph" w:customStyle="1" w:styleId="78">
    <w:name w:val="xl10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79">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80">
    <w:name w:val="xl103"/>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b/>
      <w:bCs/>
      <w:color w:val="000000"/>
      <w:kern w:val="0"/>
      <w:sz w:val="18"/>
      <w:szCs w:val="18"/>
    </w:rPr>
  </w:style>
  <w:style w:type="paragraph" w:customStyle="1" w:styleId="81">
    <w:name w:val="xl104"/>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eastAsia="宋体" w:cs="宋体"/>
      <w:kern w:val="0"/>
      <w:sz w:val="18"/>
      <w:szCs w:val="18"/>
    </w:rPr>
  </w:style>
  <w:style w:type="paragraph" w:customStyle="1" w:styleId="82">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6"/>
      <w:szCs w:val="16"/>
    </w:rPr>
  </w:style>
  <w:style w:type="paragraph" w:customStyle="1" w:styleId="83">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84">
    <w:name w:val="xl10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85">
    <w:name w:val="xl108"/>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86">
    <w:name w:val="xl109"/>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87">
    <w:name w:val="xl110"/>
    <w:basedOn w:val="1"/>
    <w:qFormat/>
    <w:uiPriority w:val="0"/>
    <w:pPr>
      <w:widowControl/>
      <w:pBdr>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88">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89">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楷体" w:hAnsi="楷体" w:eastAsia="楷体" w:cs="宋体"/>
      <w:b/>
      <w:bCs/>
      <w:kern w:val="0"/>
      <w:sz w:val="24"/>
      <w:szCs w:val="24"/>
    </w:rPr>
  </w:style>
  <w:style w:type="paragraph" w:customStyle="1" w:styleId="90">
    <w:name w:val="xl113"/>
    <w:basedOn w:val="1"/>
    <w:qFormat/>
    <w:uiPriority w:val="0"/>
    <w:pPr>
      <w:widowControl/>
      <w:spacing w:before="100" w:beforeAutospacing="1" w:after="100" w:afterAutospacing="1"/>
      <w:jc w:val="left"/>
      <w:textAlignment w:val="center"/>
    </w:pPr>
    <w:rPr>
      <w:rFonts w:ascii="仿宋" w:hAnsi="仿宋" w:eastAsia="仿宋" w:cs="宋体"/>
      <w:kern w:val="0"/>
      <w:sz w:val="32"/>
      <w:szCs w:val="32"/>
    </w:rPr>
  </w:style>
  <w:style w:type="paragraph" w:customStyle="1" w:styleId="91">
    <w:name w:val="xl6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92">
    <w:name w:val="xl67"/>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93">
    <w:name w:val="xl6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9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 w:hAnsi="楷体" w:eastAsia="楷体" w:cs="宋体"/>
      <w:b/>
      <w:bCs/>
      <w:color w:val="000000"/>
      <w:kern w:val="0"/>
      <w:sz w:val="24"/>
      <w:szCs w:val="24"/>
    </w:rPr>
  </w:style>
  <w:style w:type="paragraph" w:customStyle="1" w:styleId="9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9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00">
    <w:name w:val="xl75"/>
    <w:basedOn w:val="1"/>
    <w:qFormat/>
    <w:uiPriority w:val="0"/>
    <w:pPr>
      <w:widowControl/>
      <w:spacing w:before="100" w:beforeAutospacing="1" w:after="100" w:afterAutospacing="1"/>
      <w:jc w:val="left"/>
    </w:pPr>
    <w:rPr>
      <w:rFonts w:ascii="宋体" w:hAnsi="宋体" w:eastAsia="宋体" w:cs="宋体"/>
      <w:kern w:val="0"/>
      <w:sz w:val="14"/>
      <w:szCs w:val="1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18"/>
      <w:szCs w:val="18"/>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黑体" w:hAnsi="黑体" w:eastAsia="黑体" w:cs="宋体"/>
      <w:b/>
      <w:bCs/>
      <w:kern w:val="0"/>
      <w:sz w:val="18"/>
      <w:szCs w:val="18"/>
    </w:rPr>
  </w:style>
  <w:style w:type="paragraph" w:customStyle="1" w:styleId="10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105">
    <w:name w:val="表格2"/>
    <w:basedOn w:val="1"/>
    <w:link w:val="107"/>
    <w:qFormat/>
    <w:uiPriority w:val="0"/>
    <w:pPr>
      <w:widowControl/>
    </w:pPr>
    <w:rPr>
      <w:rFonts w:ascii="宋体" w:hAnsi="宋体" w:eastAsia="宋体" w:cs="宋体"/>
      <w:color w:val="00B0F0"/>
      <w:kern w:val="0"/>
      <w:sz w:val="18"/>
      <w:szCs w:val="18"/>
    </w:rPr>
  </w:style>
  <w:style w:type="paragraph" w:customStyle="1" w:styleId="106">
    <w:name w:val="表格前2"/>
    <w:basedOn w:val="1"/>
    <w:link w:val="108"/>
    <w:qFormat/>
    <w:uiPriority w:val="0"/>
    <w:pPr>
      <w:widowControl/>
      <w:ind w:firstLine="360" w:firstLineChars="200"/>
    </w:pPr>
    <w:rPr>
      <w:rFonts w:ascii="宋体" w:hAnsi="宋体" w:eastAsia="宋体" w:cs="宋体"/>
      <w:color w:val="CC00FF"/>
      <w:kern w:val="0"/>
      <w:sz w:val="18"/>
      <w:szCs w:val="18"/>
    </w:rPr>
  </w:style>
  <w:style w:type="character" w:customStyle="1" w:styleId="107">
    <w:name w:val="表格2 Char"/>
    <w:basedOn w:val="4"/>
    <w:link w:val="105"/>
    <w:qFormat/>
    <w:uiPriority w:val="0"/>
    <w:rPr>
      <w:rFonts w:ascii="宋体" w:hAnsi="宋体" w:eastAsia="宋体" w:cs="宋体"/>
      <w:color w:val="00B0F0"/>
      <w:kern w:val="0"/>
      <w:sz w:val="18"/>
      <w:szCs w:val="18"/>
    </w:rPr>
  </w:style>
  <w:style w:type="character" w:customStyle="1" w:styleId="108">
    <w:name w:val="表格前2 Char"/>
    <w:basedOn w:val="4"/>
    <w:link w:val="106"/>
    <w:qFormat/>
    <w:uiPriority w:val="0"/>
    <w:rPr>
      <w:rFonts w:ascii="宋体" w:hAnsi="宋体" w:eastAsia="宋体" w:cs="宋体"/>
      <w:color w:val="CC00FF"/>
      <w:kern w:val="0"/>
      <w:sz w:val="18"/>
      <w:szCs w:val="18"/>
    </w:rPr>
  </w:style>
  <w:style w:type="paragraph" w:customStyle="1" w:styleId="109">
    <w:name w:val="许可"/>
    <w:basedOn w:val="1"/>
    <w:link w:val="110"/>
    <w:qFormat/>
    <w:uiPriority w:val="0"/>
    <w:pPr>
      <w:widowControl/>
      <w:ind w:left="113" w:right="113"/>
      <w:jc w:val="center"/>
    </w:pPr>
    <w:rPr>
      <w:rFonts w:ascii="宋体" w:hAnsi="宋体" w:eastAsia="宋体" w:cs="宋体"/>
      <w:color w:val="FFC000"/>
      <w:kern w:val="0"/>
      <w:sz w:val="18"/>
      <w:szCs w:val="18"/>
    </w:rPr>
  </w:style>
  <w:style w:type="character" w:customStyle="1" w:styleId="110">
    <w:name w:val="许可 Char"/>
    <w:basedOn w:val="4"/>
    <w:link w:val="109"/>
    <w:qFormat/>
    <w:uiPriority w:val="0"/>
    <w:rPr>
      <w:rFonts w:ascii="宋体" w:hAnsi="宋体" w:eastAsia="宋体" w:cs="宋体"/>
      <w:color w:val="FFC000"/>
      <w:kern w:val="0"/>
      <w:sz w:val="18"/>
      <w:szCs w:val="18"/>
    </w:rPr>
  </w:style>
  <w:style w:type="character" w:customStyle="1" w:styleId="111">
    <w:name w:val="页眉 Char"/>
    <w:basedOn w:val="4"/>
    <w:link w:val="3"/>
    <w:semiHidden/>
    <w:qFormat/>
    <w:uiPriority w:val="99"/>
    <w:rPr>
      <w:sz w:val="18"/>
      <w:szCs w:val="22"/>
    </w:rPr>
  </w:style>
  <w:style w:type="character" w:customStyle="1" w:styleId="112">
    <w:name w:val="页脚 Char"/>
    <w:basedOn w:val="4"/>
    <w:link w:val="2"/>
    <w:qFormat/>
    <w:uiPriority w:val="99"/>
    <w:rPr>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FED6C-A196-47FB-B176-D826FA13F9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1685</Words>
  <Characters>9611</Characters>
  <Lines>80</Lines>
  <Paragraphs>22</Paragraphs>
  <ScaleCrop>false</ScaleCrop>
  <LinksUpToDate>false</LinksUpToDate>
  <CharactersWithSpaces>11274</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2015-12-18T09:19:00Z</dcterms:created>
  <dc:creator>Sky123.Org</dc:creator>
  <cp:lastModifiedBy>lenovo</cp:lastModifiedBy>
  <cp:lastPrinted>2015-12-16T04:14:00Z</cp:lastPrinted>
  <dcterms:modified xsi:type="dcterms:W3CDTF">2017-08-16T01:05:11Z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